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9C_222/2022 vom 16. Mai 2022</w:t>
      </w:r>
    </w:p>
    <w:p>
      <w:r>
        <w:t>Bundesgericht, 2022-05-16, DE</w:t>
      </w:r>
    </w:p>
    <w:p>
      <w:r>
        <w:rPr>
          <w:b/>
        </w:rPr>
        <w:t xml:space="preserve">Quelle: </w:t>
      </w:r>
      <w:r>
        <w:t>https://mcp.opencaselaw.ch/entscheid/bger_9C_222_2022</w:t>
      </w:r>
    </w:p>
    <w:p>
      <w:r>
        <w:t>FR: TF 9C_222/2022 du 16 mai 2022</w:t>
      </w:r>
    </w:p>
    <w:p>
      <w:r>
        <w:t>IT: TF 9C_222/2022 del 16 maggio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9C_222/2022</w:t>
      </w:r>
    </w:p>
    <w:p>
      <w:r>
        <w:t>Urteil vom 16. Mai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Ausgleichskasse des Kantons St. Gallen, Brauerstrasse 54, 9016 St. Gallen,</w:t>
      </w:r>
    </w:p>
    <w:p>
      <w:r>
        <w:t>Beschwerdegegnerin.</w:t>
      </w:r>
    </w:p>
    <w:p>
      <w:r>
        <w:t>Gegenstand</w:t>
      </w:r>
    </w:p>
    <w:p>
      <w:r>
        <w:t>Erwerbsersatz für Dienstleistende und bei Mutterschaft (Covid-19),</w:t>
      </w:r>
    </w:p>
    <w:p>
      <w:r>
        <w:t>Beschwerde gegen den Entscheid des Versicherungsgerichts des Kantons St. Gallen vom 7. Februar 2022 (EO 2021/1).</w:t>
      </w:r>
    </w:p>
    <w:p>
      <w:r>
        <w:t>Nach Einsicht</w:t>
      </w:r>
    </w:p>
    <w:p>
      <w:r>
        <w:t>in die Beschwerde vom 14. April 2022 (Poststempel) gegen den Entscheid des Versicherungsgerichts des Kantons St. Gallen vom 7. Februar 2022,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auch von Beschwerde führenden Laien erwartet werden darf, auf die vorinstanzliche Begründung konkret einzugehen,</w:t>
      </w:r>
    </w:p>
    <w:p>
      <w:r>
        <w:t>dass die Eingabe vom 14. April 2022 diesen inhaltlichen Mindestanforderungen nicht genügt, da die Beschwerdeführerin nicht näher darlegt, welche Vorschriften die Vorinstanz mit ihrem Entscheid verletzt haben soll,</w:t>
      </w:r>
    </w:p>
    <w:p>
      <w:r>
        <w:t>dass sich die Vorbringen - soweit überhaupt entscheidrelevant - vielmehr im Wesentlichen in unzulässiger, rein appellatorischer Kritik am angefochtenen Entscheid (vgl. BGE 144 V 50 E. 4.2 mit Hinweisen) erschöpfen, bei welcher die Beschwerdeführerin bloss ihre eigene Sichtweise wiedergibt und dabei nicht auf die entscheidwesentlichen Erwägungen des kantonalen Gerichts Bezug nimmt,</w:t>
      </w:r>
    </w:p>
    <w:p>
      <w:r>
        <w:t>dass deshalb im vereinfachten Verfahren nach Art. 108 Abs. 1 lit. b und Abs. 2 BGG auf die Beschwerde nicht einzutreten ist,</w:t>
      </w:r>
    </w:p>
    <w:p>
      <w:r>
        <w:t>dass die Versicherte grundsätzlich kostenpflichtig ist, indessen in Anwendung von Art. 66 Abs. 1 Satz 2 BGG umständehalber auf die Erhebung von Gerichtskosten verzichtet wird,</w:t>
      </w:r>
    </w:p>
    <w:p>
      <w:r>
        <w:t>dass sich deshalb das Gesuch um unentgeltliche Prozessführung als gegenstandslos erweist,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Gallen, Abteilung I, und dem Bundesamt für Sozialversicherungen schriftlich mitgeteilt.</w:t>
      </w:r>
    </w:p>
    <w:p>
      <w:r>
        <w:t>Luzern, 16. Mai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