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9C_222/2010 vom 30. Juni 2010</w:t>
      </w:r>
    </w:p>
    <w:p>
      <w:r>
        <w:t>Bundesgericht, 2010-06-30, DE</w:t>
      </w:r>
    </w:p>
    <w:p>
      <w:r>
        <w:rPr>
          <w:b/>
        </w:rPr>
        <w:t xml:space="preserve">Quelle: </w:t>
      </w:r>
      <w:r>
        <w:t>https://mcp.opencaselaw.ch/entscheid/bger_9C_222_2010</w:t>
      </w:r>
    </w:p>
    <w:p>
      <w:r>
        <w:t>FR: TF 9C_222/2010 du 30 juin 2010</w:t>
      </w:r>
    </w:p>
    <w:p>
      <w:r>
        <w:t>IT: TF 9C_222/2010 del 30 giugno 2010</w:t>
      </w:r>
    </w:p>
    <w:p>
      <w:pPr>
        <w:pStyle w:val="Heading2"/>
      </w:pPr>
      <w:r>
        <w:t>Erwägungen</w:t>
      </w:r>
    </w:p>
    <w:p>
      <w:r>
        <w:rPr>
          <w:b/>
        </w:rPr>
        <w:t>E. 1</w:t>
      </w:r>
    </w:p>
    <w:p>
      <w:r>
        <w:t>Anfechtungsobjekt ist letztinstanzlich der Entscheid des Schiedsgerichts vom 1. Februar 2010, mit welchem das Gesuch der Klägers um Wiederherstellung der Frist zur Leistung der Kaution im vorinstanzlichen Klageverfahren abgewiesen und auf die Klage nicht eingetreten worden ist. Es handelt sich dabei um einen das vorinstanzliche Verfahren abschliessenden Endentscheid im Sinne von Art. 90 BGG , gegen welchen die Beschwerde in öffentlich-rechtlichen Angelegenheiten offensteht. Da die allgemeinen Prozessvoraussetzungen ( Art. 42, Art. 82 ff., Art. 100 Abs. 1 BGG ) erfüllt sind, ist auf die Rechtsvorkehr einzutreten.</w:t>
      </w:r>
    </w:p>
    <w:p>
      <w:r>
        <w:rPr>
          <w:b/>
        </w:rPr>
        <w:t>E. 2</w:t>
      </w:r>
    </w:p>
    <w:p>
      <w:r>
        <w:t>Streitig und zu prüfen ist, ob das kantonale Schiedsgericht mit Recht das mit Eingabe vom 10. Juni 2009 gestellte Gesuch um Wiederherstellung der versäumten Frist zur Leistung der Kaution abgewiesen hat und auf die Klage und die Widerklage nicht eingetreten ist. Der Rechtsvertreter hat das Gesuch im Wesentlichen damit begründet, dass eine sehr erfahrene juristische Mitarbeiterin, die mit allen Abläufen und Weisungen des Anwaltsbüros vertraut und äusserst gewissenhaft sei, jeden Abend sorgfältig und zuverlässig die Schlusskontrolle durchgeführt und geprüft hat, ob alle Fristsachen erledigt, verpackt und im Empfangsbuch der Post eingetragen sind. Aus nicht erklärbaren Gründen habe sie am 2. Juni 2009 übersehen, dass das zur Debatte stehende Fristerstreckungsgesuch nicht vorlag und nicht eingetragen war. Das Kuvert sei einige Tage später im Kanzleisekretariat unter einer Theke gefunden worden. Es ist also nicht bestritten, dass innert Frist keine Kaution geleistet und kein Fristerstreckungsgesuch gestellt worden ist.</w:t>
      </w:r>
    </w:p>
    <w:p>
      <w:r>
        <w:rPr>
          <w:b/>
        </w:rPr>
        <w:t>E. 3.1</w:t>
      </w:r>
    </w:p>
    <w:p>
      <w:r>
        <w:t>Das Verfahren vor dem Schiedsgericht richtet sich in den Schranken von Art. 89 Abs. 5 KVG nach kantonalem Recht; das ATSG ist nicht anwendbar ( Art. 1 Abs. 2 lit. e KVG ). Der angefochtene Entscheid stützt sich deshalb auf kantonales Recht. Das Bundesgericht prüft die Verletzung von kantonalem Recht abgesehen von hier nicht interessierenden Ausnahmen ( Art. 95 lit. c und d BGG ) nur auf Verletzung von Bundesrecht hin ( Art. 95 lit. a BGG ), wobei namentlich Verfassungsverletzungen wie das Willkürverbot in Frage kommen. Willkürlich ist ein Entscheid rechtsprechungsgemäss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 Verletzungen von Grundrechten und von kantonalem Recht prüft das Bundesgericht nur insofern, als eine solche Rüge in der Beschwerde vorgebracht und begründet worden ist ( Art. 106 Abs. 2 BGG ).</w:t>
      </w:r>
    </w:p>
    <w:p>
      <w:r>
        <w:rPr>
          <w:b/>
        </w:rPr>
        <w:t>E. 3.2</w:t>
      </w:r>
    </w:p>
    <w:p>
      <w:r>
        <w:t>Soweit die Beschwerde überhaupt diesen Rügeanforderungen genügt, vermag sie eine willkürliche Anwendung des kantonalen Rechts nicht darzutun: Nach § 199 Abs. 1 des Gerichtsverfassungsgesetzes des Kantons Zürich (GVG) kann das Gericht auf Antrag einer säumigen Partei eine Frist wiederherstellen und eine Verhandlung neu ansetzen, bei grobem Verschulden der Partei oder ihres Vertreters aber nur mit Einwilligung der Gegenpartei. Nach der Gerichtspraxis des Kantons Zürich ist für die Wiederherstellung einer versäumten Frist massgebend, ob der säumigen Partei das Ausbleiben der ihr obliegenden prozessualen Handlung nach den gegebenen Umständen im Licht des objektiven Sorgfaltsmassstabs zum Vorwurf gereicht (Urteil U 435/05 vom 18. April 2006 E. 3.2, mit Hinweisen). Eine Fristwiederherstellung wird gewährt, wenn leichte oder gar keine Nachlässigkeit vorliegt und zwar unabhängig davon, ob die Gegenpartei zustimmt oder nicht; wird eine Sorgfaltspflicht verletzt, deren Beachtung unter den gegebenen Umständen auch dem durchschnittlich Sorgfältigen zuzumuten ist, wird die Wiederherstellung wegen grober Nachlässigkeit verweigert. Grobe Nachlässigkeit wird um so eher angenommen, je höher die Sorgfaltspflicht des Gesuchstellers zu veranschlagen ist, was unter anderem von der Wichtigkeit der vorzunehmenden Handlung abhängig ist (Urteil U 162/96 vom 17. Juli 1997 E. 3b, mit Hinweisen).</w:t>
      </w:r>
    </w:p>
    <w:p>
      <w:r>
        <w:rPr>
          <w:b/>
        </w:rPr>
        <w:t>E. 3.3</w:t>
      </w:r>
    </w:p>
    <w:p>
      <w:r>
        <w:t>Der Beschwerdeführer bestreitet nicht, dass die Frist für die Zahlung der Kaution oder die Einreichung des Fristerstreckungsgesuchs infolge einer Nachlässigkeit bzw. eines Versehens nicht eingehalten wurde. Eine solche Versäumnis kann keinen Fristwiederherstellungsgrund bilden (vgl. Urteil 8C_345/2009 vom 2. Juni 2009 E. 1.2), würde doch sonst jede Fristenregelung illusorisch und könnte in jedem Fall umgangen werden mit dem Hinweis, die rechtzeitige Vornahme der Handlung sei versehentlich unterblieben. Dass nach Angabe des Beschwerdeführers der Fehler einer erfahrenen Kanzleimitarbeiterin unterlief, ändert daran nichts, denn deren Verhalten ist dem Anwalt zuzurechnen (Amstutz/Arnold, Basler Kommentar Bundesgerichtsgesetz, N 8 zu Art. 50, mit Hinweisen). Die Abweisung des Fristwiederherstellungsgesuchs war nicht willkürlich.</w:t>
      </w:r>
    </w:p>
    <w:p>
      <w:r>
        <w:rPr>
          <w:b/>
        </w:rPr>
        <w:t>E. 4</w:t>
      </w:r>
    </w:p>
    <w:p>
      <w:r>
        <w:t>Nicht willkürlich ist schliesslich, wenn die Vorinstanz die vom Beschwerdeführer persönlich verfasste Eingabe vom 9. Juni 2009 wegen Ungebührlichkeit aus den Akten gewiesen hat. Unter diesen Umständen lag kein gültiges Gesuch um unentgeltliche Rechtspflege vor, nachdem auch der Rechtsvertreter ein solches nicht stellte. Auch diesbezüglich bestand kein Grund, auf die Kaution zu verzichten.</w:t>
      </w:r>
    </w:p>
    <w:p>
      <w:r>
        <w:rPr>
          <w:b/>
        </w:rPr>
        <w:t>E. 5</w:t>
      </w:r>
    </w:p>
    <w:p>
      <w:r>
        <w:t>Anders als in der Beschwerde ausgeführt, kann im Übrigen keine Rede davon sein, dass der vorinstanzliche Nichteintretensentscheid die Geltendmachung der Rechtsansprüche vereitelt. Als Nichteintretensentscheid schafft er keine materielle Rechtskraft und hindert nicht, dass der gleiche Anspruch nochmals eingeklagt werden kann ( BGE 124 I 322 E. 4e S. 326, 115 II 187 E. 3a S. 183).</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