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9C_221/2008 vom 14. Januar 2009</w:t>
      </w:r>
    </w:p>
    <w:p>
      <w:r>
        <w:t>Bundesgericht, 2009-01-14, FR</w:t>
      </w:r>
    </w:p>
    <w:p>
      <w:r>
        <w:rPr>
          <w:b/>
        </w:rPr>
        <w:t xml:space="preserve">Quelle: </w:t>
      </w:r>
      <w:r>
        <w:t>https://mcp.opencaselaw.ch/entscheid/bger_9C_221_2008</w:t>
      </w:r>
    </w:p>
    <w:p>
      <w:r>
        <w:t>FR: TF 9C_221/2008 du 14 janvier 2009</w:t>
      </w:r>
    </w:p>
    <w:p>
      <w:r>
        <w:t>IT: TF 9C_221/2008 del 14 gennaio 2009</w:t>
      </w:r>
    </w:p>
    <w:p>
      <w:pPr>
        <w:pStyle w:val="Heading2"/>
      </w:pPr>
      <w:r>
        <w:t>Erwägungen</w:t>
      </w:r>
    </w:p>
    <w:p>
      <w:r>
        <w:rPr>
          <w:b/>
        </w:rPr>
        <w:t>E. 1</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A ce défaut, un état de fait divergent de celui de la décision attaquée ne peut être pris en compte (cf. arrêt 6B_2/2007 du 14 mars 2007, consid. 3). La faculté que l' art. 105 al. 2 LTF confère au Tribunal fédéral de rectifier ou compléter d'office les constatations de l'autorité précédente si les faits ont été établis de façon manifestement inexacte ou en violation du droit au sens de l' art. 95 LTF ne dispense pas le recourant de son obligation d'allégation et de motivation. Il n'incombe pas au Tribunal fédéral de rechercher lui-même dans le dossier si ce dernier pourrait éventuellement contenir des indices d'une inexactitude de l'état de fait de l'autorité précédente. L' art. 105 al. 2 LTF trouve application lorsque le Tribunal fédéral, en examinant les griefs soulevés, constate une inexactitude manifeste dans l'état de fait de l'autorité précédente ou lorsque celle-ci saute d'emblée aux yeux ( ATF 133 IV 286 consid. 6.2 p. 288; 133 II 249 consid. 1.4.3 p. 255). Aucun fait nouveau ni preuve nouvelle ne peut être présenté à moins de résulter de la décision de l'autorité précédente ( art. 99 al. 1 LTF ).</w:t>
      </w:r>
    </w:p>
    <w:p>
      <w:r>
        <w:rPr>
          <w:b/>
        </w:rPr>
        <w:t>E. 2.1</w:t>
      </w:r>
    </w:p>
    <w:p>
      <w:r>
        <w:t>Selon un principe général du droit des assurances sociales, 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 art. 53 al. 2 LPGA ; ATF 133 V 50 consid. 4.1 p. 52).</w:t>
      </w:r>
    </w:p>
    <w:p>
      <w:r>
        <w:rPr>
          <w:b/>
        </w:rPr>
        <w:t>E. 2.2</w:t>
      </w:r>
    </w:p>
    <w:p>
      <w:r>
        <w:t>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(par exemple arrêts 9C_71/2008 du 14 mars 2008 consid. 2, 9C_575/2007 du 18 octobre 2007 consid. 2.2).</w:t>
      </w:r>
    </w:p>
    <w:p>
      <w:r>
        <w:rPr>
          <w:b/>
        </w:rPr>
        <w:t>E. 3.1</w:t>
      </w:r>
    </w:p>
    <w:p>
      <w:r>
        <w:t>Les premiers juges ont retenu que l'intimé avait rendu la décision de rente initiale du 17 juin 1996 en se fondant sur le rapport du docteur D._________ du 22 mars 1995, dont il ressortait que la recourante présentait une incapacité de travail de 80 % dans les activités de ménagère et de concierge, en raison d'une lombosciatique chronique sur canal étroit. Souffrant de sciatiques à répétition depuis l'âge de dix-huit ans, elle présentait une exacerbation de la symptomatologie depuis novembre 1993, avec des lombalgies et des irradiations dans le membre inférieur gauche, fréquentes et présentes lors de tout effort, ce qui ne lui permettait plus d'effectuer son travail de concierge. L'office AI s'était également fondé sur le rapport d'enquête économique pour les ménagères du 12 septembre 1995, qui concluait à un taux de 38 % d'incapacité d'accomplir ses travaux habituels. Cependant, avant de rendre la décision du 17 juin 1996, il n'avait pas cherché à savoir quelles activités étaient exigibles de la part de la recourante, compte tenu de l'atteinte à sa santé, ni quels revenus elle aurait pu réaliser dans une activité adaptée à son handicap. Le principe de la priorité de la réadaptation sur la rente n'avait dès lors pas été examiné et une comparaison des revenus selon l' art. 28 al. 2 LAI n'avait pas eu lieu. En conséquence, la décision initiale, lui allouant une demi-rente pour une invalidité de 60 %, était manifestement erronée.</w:t>
      </w:r>
    </w:p>
    <w:p>
      <w:r>
        <w:rPr>
          <w:b/>
        </w:rPr>
        <w:t>E. 3.2</w:t>
      </w:r>
    </w:p>
    <w:p>
      <w:r>
        <w:t>Ce point de vue ne peut être suivi. Au titre des éléments ayant amené l'office AI à reconnaître à la recourante une invalidité de 60 % par la décision de rente du 17 juin 1996, les premiers juges ont retenu le rapport du docteur D._________ du 22 mars 1995 et le rapport d'enquête économique pour les ménagères du 12 septembre 1995. La confrontation de ces documents aux autres pièces du dossier sur lesquelles s'est fondé l'intimé pour rendre la décision initiale ne permet pas de considérer qu'elle était manifestement erronée.</w:t>
      </w:r>
    </w:p>
    <w:p>
      <w:r>
        <w:t>Ainsi, et il convient sur ce point ( art. 105 al. 2 LTF ) de compléter les constatations des premiers juges, le docteur V._________, médecin de l'office AI, dans un avis du 7 mars 1996, a corrigé l'incapacité dans les travaux de conciergerie prise en compte sous ch. 5.1.8 (autres activités) de l'enquête économique pour les ménagères du 12 septembre 1995, en relevant que l'empêchement retenu surestimait l'invalidité comme ménagère. Il en allait de même sous ch. 5.1.3 (relatif à l'alimentation) du tableau de comparaison des champs d'activité, en ce qui concerne l'aide apportée par les filles de l'assurée. A la différence de la personne chargée de l'enquête, qui avait fixé à 48 % l'incapacité d'accomplir les travaux habituels, le docteur V._________ a retenu à ce titre une incapacité de 38 % au maximum et une invalidité de 59 % au total (40 % en tant que personne active et 19 % en tant que ménagère).</w:t>
      </w:r>
    </w:p>
    <w:p>
      <w:r>
        <w:t>S'agissant de la part de 50 % consacrée à une activité lucrative, le docteur V._________ dans son avis du 7 mars 1996 et l'office AI dans une prise de position du 20 mars 1996 ont repris le taux d'incapacité de travail de 80 % attesté par le docteur D._________ dans son rapport du 22 mars 1995 en ce qui concerne les activités de ménagère et de concierge. Même s'ils n'ont pas examiné l'exigibilité dans une activité adaptée et ont déterminé le taux d'invalidité sur une simple évaluation médico-théorique de la capacité de travail, ce qui n'est pas conforme à la loi ( ATF 114 V 281 consid. 1c p. 283 et 310 consid. 3c p. 314), cela ne permet pas encore de qualifier la décision initiale de manifestement erronée. Au vu de ces pièces et des rapports intermédiaires du docteur D._________ des 21 novembre 1995 et 9 octobre 1998, on ne peut considérer que l'instruction ayant amené l'intimé à accorder à la recourante une demi-rente ou à confirmer en 1999 le degré d'invalidité de 60 % lors d'une révision de son droit à la rente apparaisse manifestement erronée (arrêt 9C_575/2007 du 18 octobre 2007 consid. 3.3).</w:t>
      </w:r>
    </w:p>
    <w:p>
      <w:r>
        <w:t>Dès lors, les conditions n'étaient pas réunies pour que l'office AI procède à une reconsidération de la décision de rente initiale du 17 juin 1996. Le jugement attaqué et la décision du 23 août 2007 de suppression du droit à la rente par voie de reconsidération sont donc erronés. Au vu de ces éléments, les griefs touchant à la violation du droit d'être entendu en procédure cantonale sont sans objet.</w:t>
      </w:r>
    </w:p>
    <w:p>
      <w:r>
        <w:rPr>
          <w:b/>
        </w:rPr>
        <w:t>E. 4</w:t>
      </w:r>
    </w:p>
    <w:p>
      <w:r>
        <w:t>Les éléments de fait retenus par les premiers juges font ressortir une modification des paramètres du statut d'assurée mixte de la recourante depuis la décision initiale de rente. La question, non préjugée par le présent arrêt, d'une éventuelle révision au sens de l' art. 17 LPGA appartient cependant à l'administration.</w:t>
      </w:r>
    </w:p>
    <w:p>
      <w:r>
        <w:rPr>
          <w:b/>
        </w:rPr>
        <w:t>E. 5</w:t>
      </w:r>
    </w:p>
    <w:p>
      <w:r>
        <w:t>Vu l'issue du litige, les frais judiciaires doivent être mis à la charge de l'intimé, qui succombe ( art. 66 al. 1 LTF ). La recourante a droit à une indemnité de dépens pour l'instance fédérale ( art. 68 al. 1 LTF ). Il y a lieu d'inviter l'autorité de l'instance inférieure à statuer sur les dépens de cette instance ( art. 61 let .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