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9C_220/2016 vom 1. September 2016</w:t>
      </w:r>
    </w:p>
    <w:p>
      <w:r>
        <w:t>Bundesgericht, 2016-09-01, FR</w:t>
      </w:r>
    </w:p>
    <w:p>
      <w:r>
        <w:rPr>
          <w:b/>
        </w:rPr>
        <w:t xml:space="preserve">Quelle: </w:t>
      </w:r>
      <w:r>
        <w:t>https://mcp.opencaselaw.ch/entscheid/bger_9C_220_2016</w:t>
      </w:r>
    </w:p>
    <w:p>
      <w:r>
        <w:t>FR: TF 9C_220/2016 du 1 septembre 2016</w:t>
      </w:r>
    </w:p>
    <w:p>
      <w:r>
        <w:t>IT: TF 9C_220/2016 del 1 settembre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Sur le plan formel, invoquant une violation de l' art. 6 par. 1 CEDH , le recourant reproche aux premiers juges d'avoir refusé l'organisation de débats publics malgré la demande y relative formulée dans son recours du 11 juillet 2014.</w:t>
      </w:r>
    </w:p>
    <w:p>
      <w:r>
        <w:rPr>
          <w:b/>
        </w:rPr>
        <w:t>E. 2.1</w:t>
      </w:r>
    </w:p>
    <w:p>
      <w:r>
        <w:t>L' art. 30 al. 3 Cst. ,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 art. 6 par. 1 CEDH , lorsque la procédure applicable le prévoit ou lorsque sa nécessité découle des exigences du droit à la preuve ( ATF 128 I 288 consid. 2.6 p. 293). L' art. 6 par.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 ATF 122 V 47 consid. 2c p. 51 et 3a p. 55). Saisi d'une demande tendant à la mise en oeuvre de débats publics, le juge doit en principe y donner suite. Il peut cependant s'abstenir dans les cas prévus par l'art. 6 par. 1 seconde phrase CEDH, lorsque la demande est abusive (chicanière ou dilatoire), lorsqu'il apparaît clairement que le recours est infondé, irrecevable ou, au contraire, manifestement bien fondé ou lorsque l'objet du litige porte sur des questions hautement techniques (cf. ATF 136 I 279 consid. 1 p. 280; 134 I 331 consid. 2.3 p. 333; 122 V 47 consid. 3b p. 55). Le Tribunal fédéral a par ailleurs précisé qu'il ne pouvait être renoncé à des débats publics au motif que la procédure écrite convenait mieux pour discuter de questions d'ordre médical, même si l'objet du litige porte essentiellement sur la confrontation d'avis spécialisés au sujet de l'état de santé et de l'incapacité de travail d'un assuré en matière d'assurance-invalidité ( ATF 136 I 279 consid. 3 p. 283).</w:t>
      </w:r>
    </w:p>
    <w:p>
      <w:r>
        <w:rPr>
          <w:b/>
        </w:rPr>
        <w:t>E. 2.2</w:t>
      </w:r>
    </w:p>
    <w:p>
      <w:r>
        <w:t>En l'espèce, les premiers juges ne pouvaient pas renoncer à organiser des débats publics pour les motifs invoqués dans l'arrêt entrepris - l'instruction du dossier était complète, la tenue d'une audience n'étant pas de nature à influer sur le sort du litige - sous peine de violer le droit fédéral. Il s'agit en effet d'une procédure bénéficiant de la protection de l' art. 6 par. 1 CEDH ( ATF 125 V 499 consid. 2a p. 501; 122 V 47 consid. 2a p. 50) et qui ne tombe en l'espèce pas sous le coup d'une exception prévue par la jurisprudence (supra consid. 2.1). Il ne s'agit en particulier pas d'une procédure consacrée exclusivement à des points de droit ou hautement techniques. Il existe par ailleurs une demande certes non motivée mais claire et indiscutable dans ses termes qui ne saurait être confondue avec une simple requête de preuve. Dans ces circonstances, l'acte attaqué doit être annulé et la cause renvoyée à la juridiction cantonale afin qu'elle organise des débats publics et rende une nouvelle décision.</w:t>
      </w:r>
    </w:p>
    <w:p>
      <w:r>
        <w:rPr>
          <w:b/>
        </w:rPr>
        <w:t>E. 3</w:t>
      </w:r>
    </w:p>
    <w:p>
      <w:r>
        <w:t>Vu l'issue du litige, il convient de mettre les frais et dépens de la procédure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