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21/2022 vom 15. Juni 2022</w:t>
      </w:r>
    </w:p>
    <w:p>
      <w:r>
        <w:t>Bundesgericht, 2022-06-15, DE</w:t>
      </w:r>
    </w:p>
    <w:p>
      <w:r>
        <w:rPr>
          <w:b/>
        </w:rPr>
        <w:t xml:space="preserve">Quelle: </w:t>
      </w:r>
      <w:r>
        <w:t>https://mcp.opencaselaw.ch/entscheid/bger_9C_21_2022</w:t>
      </w:r>
    </w:p>
    <w:p>
      <w:r>
        <w:t>FR: TF 9C 21/2022 du 15 juin 2022</w:t>
      </w:r>
    </w:p>
    <w:p>
      <w:r>
        <w:t>IT: TF 9C 21/2022 del 15 giugno 2022</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Bundesrecht verletzt wurde, indem das kantonale Gericht den Anspruch des Beschwerdeführers auf eine höhere als eine Dreiviertelsrente verneint hat.</w:t>
      </w:r>
    </w:p>
    <w:p>
      <w:r>
        <w:rPr>
          <w:b/>
        </w:rPr>
        <w:t>E. 2.2</w:t>
      </w:r>
    </w:p>
    <w:p>
      <w:r>
        <w:t>Am 1. Januar 2022 trat das revidierte Bundesgesetz über die Invalidenversicherung (IVG; SR 831.20) in Kraft (Weiterentwicklung der IV [WEIV]; Änderung vom 19. Juni 2020, AS 2021 705, BBl 2017 2535). 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sowie des Bundesgesetzes über den Allgemeinen Teil des Sozialversicherungsrechts (ATSG; SR 830.1) in den bis 31. Dezember 2021 gültig gewesenen Fassungen anwendbar.</w:t>
      </w:r>
    </w:p>
    <w:p>
      <w:r>
        <w:rPr>
          <w:b/>
        </w:rPr>
        <w:t>E. 2.3.1</w:t>
      </w:r>
    </w:p>
    <w:p>
      <w:r>
        <w:t>Die für die Beurteilung der Streitsache massgeblichen rechtlichen Grundlagen wurden im angefochtenen Entscheid zutreffend dargelegt. Es betrifft dies insbesondere die Erwägungen zum entscheidrelevanten Sachverhalt ( BGE 143 V 409 E. 2.1; 121 V 362 E. 1b; Urteile 8C_505/2020 vom 6. Oktober 2020 E. 5.1, 9C_24/2008 vom 27. Mai 2008 E. 2.3.1), zur Invalidität ( Art. 7 und 8 Abs. 1 ATSG ) und zur Verwertbarkeit der Restarbeitsfähigkeit auf dem ausgeglichenen Arbeitsmarkt ( BGE 110 V 273 E. 4b; Urteile 9C_898/2017 vom 25. Oktober 2018 E. 3.3.1, 8C_458/2018 vom 23. Oktober 2018 E. 4.2, 9C_910/2011 vom 30. März 2012 E. 3.1). Darauf wird verwiesen. Hervorzuheben respektive zu ergänzen ist Folgendes: Die Möglichkeit einer versicherten Person, das verbliebene Leistungsvermögen auf dem allgemeinen ausgeglichenen Arbeitsmarkt zu verwerten, hängt von den konkreten Umständen des Einzelfalls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 dass nicht leichthin angenommen werden kann, die verbliebene Leistungsfähigkeit sei unverwertbar. Er umfasst auch sogenannte Nischenarbeitsplätze, also Stellen- und Arbeitsangebote, bei denen Behinderte mit einem sozialen Entgegenkommen des Arbeitgebers rechnen können. Unverwertbarkeit der Restarbeitsfähigkeit ist insbesondere dann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 8C_416/2020 vom 2. Dezember 2020 E. 4 mit Hinweisen).</w:t>
      </w:r>
    </w:p>
    <w:p>
      <w:r>
        <w:rPr>
          <w:b/>
        </w:rPr>
        <w:t>E. 2.3.2</w:t>
      </w:r>
    </w:p>
    <w:p>
      <w:r>
        <w:t>Zu beachten gilt es zudem, dass die unvollständige Feststellung rechtserheblicher Tatsachen sowie die Missachtung des Untersuchungsgrundsatzes Rechtsfragen sind (Urteil 9C_899/2017 vom 9. Mai 2018 E. 2.1 mit Hinweisen). Gleiches gilt für die Frage, ob dem Versicherten die Verwertung seiner Restarbeitsfähigkeit auf einem (hypothetischen) ausgeglichenen Arbeitsmarkt nach allgemeiner Lebenserfahrung noch zumutbar war (vgl. BGE 132 V 393 E. 3.2; nicht publ. E. 4.1 des Urteils BGE 145 V 209 , veröffentlicht in SVR 2019 IV Nr. 73 S. 233). Bei den vorinstanzlichen Feststellungen zum Gesundheitszustand und zur Arbeitsfähigkeit der versicherten Person sowie bei der konkreten Beweiswürdigung handelt es sich dagegen grundsätzlich um Entscheidungen über Tatfragen ( BGE 132 V 393 E. 3.2), die das Bundesgericht seiner Urteilsfindung zugrunde zu legen hat.</w:t>
      </w:r>
    </w:p>
    <w:p>
      <w:r>
        <w:rPr>
          <w:b/>
        </w:rPr>
        <w:t>E. 3.1</w:t>
      </w:r>
    </w:p>
    <w:p>
      <w:r>
        <w:t>Das kantonale Gericht hat dem MEDAS-Gutachten vom 5. Dezember 2019 Beweiskraft zuerkannt und gestützt darauf bei der Diagnose einer Diffusen idiopathischen skelettalen Hyperostose (DISH) - die ganze Wirbelsäule betreffend, auf eine Arbeitsfähigkeit von 45 % in leidensangepasster Tätigkeit geschlossen (vollständige Arbeitsunfähigkeit in den bisherigen Tätigkeiten). Zwei vom Beschwerdeführer eingereichte Berichte vom 11. Februar und 5. März 2021 hat es für die Beurteilung des medizinischen Sachverhaltes bis zum Zeitpunkt der Verfügungen vom 5. und 12. Mai 2020 als nicht relevant qualifiziert. Es hat die Verwertbarkeit der Restarbeitsfähigkeit bejaht und ist der Beschwerdegegnerin hinsichtlich eines Tabellenabzugs von 25 % gefolgt. Auf dieser Grundlage hat es den von der Beschwerdegegnerin ermittelten Invaliditätsgrad von 66 % und damit den Anspruch auf eine Dreiviertelsrente ab 1. Juni 2019 bestätigt.</w:t>
      </w:r>
    </w:p>
    <w:p>
      <w:r>
        <w:rPr>
          <w:b/>
        </w:rPr>
        <w:t>E. 3.2.1</w:t>
      </w:r>
    </w:p>
    <w:p>
      <w:r>
        <w:t>Aus den Berichten betreffend Orthoradiographie und Magnetresonanztomographie (MRI) der Wirbelsäule vom 11. Februar und 5. März 2021 kann der Beschwerdeführer, insbesondere unter Berücksichtigung der progressiven Natur seines Leidens, nichts zu seinen Gunsten ableiten: Die Unterlagen zeigen den Status der Wirbelsäule im Februar und März 2021 auf. Daraus lassen sich keine Rückschlüsse auf den Zustand im Zeitpunkt der Verfügungserlasse von Mai 2020 ziehen. Die Vorinstanz hat daher kein Bundesrecht verletzt, indem sie die Eingaben im Rahmen des vorliegenden Verfahrens unberücksichtigt gelassen hat.</w:t>
      </w:r>
    </w:p>
    <w:p>
      <w:r>
        <w:rPr>
          <w:b/>
        </w:rPr>
        <w:t>E. 3.2.2</w:t>
      </w:r>
    </w:p>
    <w:p>
      <w:r>
        <w:t>Es ist sodann darauf hinzuweisen, dass der Beschwerdeführer aus medizinischer Sicht in leidensangepasster Tätigkeit während vier Stunden und 15 Minuten präsent sein kann mit einer Leistungsminderung von "allenfalls" 10 %, was einer Leistungsfähigkeit von 45 % entspricht. Dabei bestehen mit Blick auf das MEDAS-Gutachten keine Zweifel daran, dass mit der Einschränkung von 10 % dem "verlängerten" Pausenbedarf Rechnung getragen wird. Dass abgesehen hiervon zusätzliche Pausen notwendig wären, ist dem Gutachten dagegen nicht zu entnehmen (Konsensbeurteilung MEDAS S. 5, Orthopädisches Teilgutachten MEDAS S. 14).</w:t>
      </w:r>
    </w:p>
    <w:p>
      <w:r>
        <w:rPr>
          <w:b/>
        </w:rPr>
        <w:t>E. 3.2.3</w:t>
      </w:r>
    </w:p>
    <w:p>
      <w:r>
        <w:t>Hinsichtlich der Frage der Verwertbarkeit seiner Restarbeitsfähigkeit dringt der Beschwerdeführer jedoch durch: Gemäss dem im Vordergrund stehenden Zumutbarkeitsprofil von Dr. med. B.________, Fachärztin für Orthopädische Chirurgie und Traumatologie des Bewegungsapparates, welchem die Vorinstanz gefolgt ist, ist dem Beschwerdeführer das Heben und Tragen von schweren Lasten von mehr als 3 kg nicht mehr zumutbar, ebenso wenig Arbeiten verbunden mit Zwangshaltungen des Kopfes und Rumpfes und ständige Überkopfarbeiten, wie auch Arbeiten in gebückter, kniender und gehockter Stellung. Gleiches gilt für stehende und sitzende Tätigkeiten. Rein gehende Arbeiten waren im Zeitpunkt der Begutachtung mit verlängerten Pausen noch zumutbar. Die Leistungsfähigkeit betrug 45 % (MEDAS-Gutachten, Konsensbeurteilung S. 4 f., Orthopädisches Teilgutachten S. 14). Das besagte Profil ist derart eingeschränkt, dass auch unter Berücksichtigung von Nischenarbeitsplätzen (E. 2.3.1 hiervor) keine verwertbare Restarbeitsfähigkeit auf dem ausgeglichenen Arbeitsmarkt mehr vorliegt: Der Beschwerdeführer ist nicht nur auf eine rein gehende Tätigkeit angewiesen, sondern auch dabei noch weiter eingeschränkt. Dies sowohl hinsichtlich praktisch sämtlicher Körperhaltungen (Zwangshaltung des Kopfes und Rumpfes, ständiges Überkopfarbeiten, gebückt, kniend, gehockt) als auch bezüglich des Hebens und Tragens von Gewichten (Limite: 3 kg). Wie er damit die von der Vorinstanz beispielhaft aufgezählten Tätigkeiten (Hundesitter, "leichtere Tätigkeit" in einem Tierheim, Zusteller etwa von Werbeprospekten, Aufsicht in Museen, Platzzuweisung in Theatern, vorinstanzliche Erwägung 4.3 S. 10) ohne ein unrealistisches Entgegenkommen eines durchschnittlichen Arbeitgebers ausüben können soll, ist nicht ersichtlich. Im Übrigen gelten insbesondere Aufsichtstätigkeiten in einem Museum rechtsprechungsgemäss als Tätigkeiten mit der Möglichkeit zu Positionswechseln (vgl. etwa Urteil 8C_926/2011 vom 7. Dezember 2012 E. 2.3). Fehlt es an der wirtschaftlichen Verwertbarkeit der Restarbeitsfähigkeit auf dem ausgeglichenen Arbeitsmarkt, liegt eine vollständige Erwerbsunfähigkeit vor (Urteil 9C_766/2019 vom 11. September 2020 E. 4.5 mit Hinweis). Folglich besteht der Anspruch auf eine ganze Invalidenrente ab 1. Juni 2019. Die Beschwerde ist begründet.</w:t>
      </w:r>
    </w:p>
    <w:p>
      <w:r>
        <w:rPr>
          <w:b/>
        </w:rPr>
        <w:t>E. 4</w:t>
      </w:r>
    </w:p>
    <w:p>
      <w:r>
        <w:t>Dem Ausgang des Verfahrens entsprechend hat die Beschwerdegegnerin die Gerichtskosten zu tragen ( Art. 66 Abs. 1 BGG ) und dem anwaltlich vertretenen Beschwerdeführer eine Parteientschädigung auszurichten ( Art. 68 Abs. 1 und 2 BGG ). Die Sache wird zur Neuverlegung der Kosten des vorangegangenen Verfahrens an die Vorinstanz zurückgewiesen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