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9C_21/2015 vom 5. Februar 2015</w:t>
      </w:r>
    </w:p>
    <w:p>
      <w:r>
        <w:t>Bundesgericht, 2015-02-05, DE</w:t>
      </w:r>
    </w:p>
    <w:p>
      <w:r>
        <w:rPr>
          <w:b/>
        </w:rPr>
        <w:t xml:space="preserve">Quelle: </w:t>
      </w:r>
      <w:r>
        <w:t>https://mcp.opencaselaw.ch/entscheid/bger_9C_21_2015</w:t>
      </w:r>
    </w:p>
    <w:p>
      <w:r>
        <w:t>FR: TF 9C_21/2015 du 5 février 2015</w:t>
      </w:r>
    </w:p>
    <w:p>
      <w:r>
        <w:t>IT: TF 9C_21/2015 del 5 febbraio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9C_21/2015</w:t>
      </w:r>
    </w:p>
    <w:p>
      <w:r>
        <w:t>Urteil vom 5. Februar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Traub.</w:t>
      </w:r>
    </w:p>
    <w:p>
      <w:r>
        <w:t>Verfahrensbeteiligte</w:t>
      </w:r>
    </w:p>
    <w:p>
      <w:r>
        <w:t>A.________,</w:t>
      </w:r>
    </w:p>
    <w:p>
      <w:r>
        <w:t>vertreten durch das Treuhandbüro B.________,</w:t>
      </w:r>
    </w:p>
    <w:p>
      <w:r>
        <w:t>Beschwerdeführer,</w:t>
      </w:r>
    </w:p>
    <w:p>
      <w:r>
        <w:t>gegen</w:t>
      </w:r>
    </w:p>
    <w:p>
      <w:r>
        <w:t>Ausgleichskasse des Kantons Wallis, Avenue Pratifori 22, 1950 Sitten,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Kantonsgerichts Wallis vom 4. Dezember 2014.</w:t>
      </w:r>
    </w:p>
    <w:p>
      <w:r>
        <w:t>Nach Einsicht</w:t>
      </w:r>
    </w:p>
    <w:p>
      <w:r>
        <w:t>in die Beschwerde vom 8. Januar 2015 gegen den Entscheid des Kantonsgerichts Wallis vom 4. Dezember 2014,</w:t>
      </w:r>
    </w:p>
    <w:p>
      <w:r>
        <w:t>in Erwägung,</w:t>
      </w:r>
    </w:p>
    <w:p>
      <w:r>
        <w:t>dass ein Rechtsmittel unter anderem die Rechtsbegehren und deren Begründung enthalten muss, wobei in der Begründung in gedrängter Form darzulegen ist, inwiefern der angefochtene Entscheid Recht verletzt ( Art. 42 Abs. 1 und 2 BGG ),</w:t>
      </w:r>
    </w:p>
    <w:p>
      <w:r>
        <w:t>dass aus der Begründung mithin ersichtlich sein muss, in welchen Punkten und weshalb der angefochtene Entscheid beanstandet wird ( BGE 134 II 244 E. 2.1 S. 245; 131 II 449 E. 1.3 S. 452),</w:t>
      </w:r>
    </w:p>
    <w:p>
      <w:r>
        <w:t>dass sich der Beschwerdeführer nicht mit den Erwägungen des kantonalen Gerichts darüber auseinandersetzt, in welchen zeitlichen Schranken Abschreibungen infolge Wertverminderung von landwirtschaftlich genutztem Boden bei der Festsetzung der strittigen AHV-/IV-/EO-Beiträge aus selbständiger Erwerbstätigkeit zu berücksichtigen sind ( Art. 18 Abs. 1bis AHVV ; vgl. angefochtenen Entscheid vom 4. Dezember 2014 E. 4; Mitteilung des Bundesgerichts vom 12. Januar 2015),</w:t>
      </w:r>
    </w:p>
    <w:p>
      <w:r>
        <w:t>dass die Beschwerdeschrift den inhaltlichen Mindestanforderungen somit offensichtlich nicht genügt,</w:t>
      </w:r>
    </w:p>
    <w:p>
      <w:r>
        <w:t>dass deshalb im vereinfachten Verfahren nach Art. 108 Abs. 1 lit. b und Abs. 2 BGG auf die Beschwerde nicht einzutreten ist,</w:t>
      </w:r>
    </w:p>
    <w:p>
      <w:r>
        <w:t>dass auf die Erhebung von Gerichtskosten umständehalber verzichtet wird (Art. 66 Abs. 1 zweiter Satz BGG),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Wallis und dem Bundesamt für Sozialversicherungen schriftlich mitgeteilt.</w:t>
      </w:r>
    </w:p>
    <w:p>
      <w:r>
        <w:t>Luzern, 5. Februar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