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9C_219/2021 vom 30. April 2021</w:t>
      </w:r>
    </w:p>
    <w:p>
      <w:r>
        <w:t>Bundesgericht, 2021-04-30, DE</w:t>
      </w:r>
    </w:p>
    <w:p>
      <w:r>
        <w:rPr>
          <w:b/>
        </w:rPr>
        <w:t xml:space="preserve">Quelle: </w:t>
      </w:r>
      <w:r>
        <w:t>https://mcp.opencaselaw.ch/entscheid/bger_9C_219_2021</w:t>
      </w:r>
    </w:p>
    <w:p>
      <w:r>
        <w:t>FR: TF 9C_219/2021 du 30 avril 2021</w:t>
      </w:r>
    </w:p>
    <w:p>
      <w:r>
        <w:t>IT: TF 9C_219/2021 del 30 aprile 2021</w:t>
      </w:r>
    </w:p>
    <w:p>
      <w:pPr>
        <w:pStyle w:val="Heading2"/>
      </w:pPr>
      <w:r>
        <w:t>Volltext</w:t>
      </w:r>
    </w:p>
    <w:p>
      <w:r>
        <w:t>Bundesgericht</w:t>
      </w:r>
    </w:p>
    <w:p>
      <w:r>
        <w:t>Tribunal fédéral</w:t>
      </w:r>
    </w:p>
    <w:p>
      <w:r>
        <w:t>Tribunale federale</w:t>
      </w:r>
    </w:p>
    <w:p>
      <w:r>
        <w:t>Tribunal federal</w:t>
      </w:r>
    </w:p>
    <w:p>
      <w:r>
        <w:t>9C_219/2021</w:t>
      </w:r>
    </w:p>
    <w:p>
      <w:r>
        <w:t>Urteil vom 30. April 2021</w:t>
      </w:r>
    </w:p>
    <w:p>
      <w:r>
        <w:t>II. sozialrechtliche Abteilung</w:t>
      </w:r>
    </w:p>
    <w:p>
      <w:r>
        <w:t>Besetzung</w:t>
      </w:r>
    </w:p>
    <w:p>
      <w:r>
        <w:t>Bundesrichter Parrino, Präsident,</w:t>
      </w:r>
    </w:p>
    <w:p>
      <w:r>
        <w:t>Gerichtsschreiber Williner.</w:t>
      </w:r>
    </w:p>
    <w:p>
      <w:r>
        <w:t>Verfahrensbeteiligte</w:t>
      </w:r>
    </w:p>
    <w:p>
      <w:r>
        <w:t>A.________,</w:t>
      </w:r>
    </w:p>
    <w:p>
      <w:r>
        <w:t>Beschwerdeführer,</w:t>
      </w:r>
    </w:p>
    <w:p>
      <w:r>
        <w:t>gegen</w:t>
      </w:r>
    </w:p>
    <w:p>
      <w:r>
        <w:t>Sozialversicherungsanstalt des Kantons Aargau, Kyburgerstrasse 15, 5000 Aarau,</w:t>
      </w:r>
    </w:p>
    <w:p>
      <w:r>
        <w:t>Beschwerdegegnerin.</w:t>
      </w:r>
    </w:p>
    <w:p>
      <w:r>
        <w:t>Gegenstand</w:t>
      </w:r>
    </w:p>
    <w:p>
      <w:r>
        <w:t>Ergänzungsleistung zur AHV/IV,</w:t>
      </w:r>
    </w:p>
    <w:p>
      <w:r>
        <w:t>Beschwerde gegen den Entscheid des Versicherungsgerichts des Kantons Aargau vom 18. Februar 2021 (VBE.2020.517).</w:t>
      </w:r>
    </w:p>
    <w:p>
      <w:r>
        <w:t>Nach Einsicht</w:t>
      </w:r>
    </w:p>
    <w:p>
      <w:r>
        <w:t>in die Beschwerde vom 13. April 2021 (Poststempel) gegen den Entscheid des Versicherungsgerichts des Kantons Aargau vom 18. Februar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massgebenden Erwägungen der Vorinstanz einzugehen und im Einzelnen aufzuzeigen ist, worin eine Verletzung von Bundesrecht liegt, wohingegen rein appellatorische Kritik nicht genügt ( BGE 140 III 86 E. 2, 264 E. 2.3; 134 V 53 E. 3.3),</w:t>
      </w:r>
    </w:p>
    <w:p>
      <w:r>
        <w:t>dass die Eingabe vom 13. April 2021 diesen inhaltlichen Mindestanforderungen offensichtlich nicht genügt, da sich der Beschwerdeführer nicht in hinreichender Weise mit den entscheidenden Darlegungen der Vorinstanz auseinandersetzt und seinen Ausführungen nicht entnommen werden kann, inwiefern die Sachverhaltsfeststellung im Sinne von Art. 97 Abs. 1 BGG - soweit überhaupt beanstandet - offensichtlich unzutreffend und die darauf beruhenden Erwägungen rechtsfehlerhaft im Sinne von Art. 95 BGG sein sollen,</w:t>
      </w:r>
    </w:p>
    <w:p>
      <w:r>
        <w:t>dass dies insbesondere der Fall ist in Bezug auf Erwägungen des kantonalen Gerichts, wonach über die Rechtmässigkeit der Leistungseinstellung bereits mit dem unangefochten gebliebenen Einspracheentscheid vom 24. Januar 2020 entschieden worden sei,</w:t>
      </w:r>
    </w:p>
    <w:p>
      <w:r>
        <w:t>dass sich die Vorbringen des Beschwerdeführers im Übrigen darauf beschränken, die eigene Sichtweise wiederzugeben sowie rein appellatorische Kritik zu üben, was nach dem Dargelegten im bundesgerichtlichen Verfahren nicht ausreicht,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30. April 2021</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