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219/2014 vom 23. September 2014</w:t>
      </w:r>
    </w:p>
    <w:p>
      <w:r>
        <w:t>Bundesgericht, 2014-09-23, FR</w:t>
      </w:r>
    </w:p>
    <w:p>
      <w:r>
        <w:rPr>
          <w:b/>
        </w:rPr>
        <w:t xml:space="preserve">Quelle: </w:t>
      </w:r>
      <w:r>
        <w:t>https://mcp.opencaselaw.ch/entscheid/bger_9C_219_2014</w:t>
      </w:r>
    </w:p>
    <w:p>
      <w:r>
        <w:t>FR: TF 9C 219/2014 du 23 septembre 2014</w:t>
      </w:r>
    </w:p>
    <w:p>
      <w:r>
        <w:t>IT: TF 9C 219/2014 del 23 settembre 2014</w:t>
      </w:r>
    </w:p>
    <w:p>
      <w:pPr>
        <w:pStyle w:val="Heading2"/>
      </w:pPr>
      <w:r>
        <w:t>Regeste</w:t>
      </w:r>
    </w:p>
    <w:p>
      <w:r>
        <w:t>Prévoyance professionnelle (prestation d'invalidité; prescription) | Prévoyance professionnelle</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Le litige porte sur le droit en tant que tel de la recourante à une rente d'invalidité de la prévoyance professionnelle. Etant donné les griefs de l'assurée contre le jugement cantonal ainsi que les exigences d'allégation et de motivation de l' art. 42 al. 2 LTF (voir Florence Aubry Girardin, in: Commentaire de la LTF, 2014, n° 24 ad art. 42 LTF et les références), il s'agit de déterminer si le tribunal cantonal a contrevenu à l' art. 41 LPP , en particulier d'examiner si le droit de la recourante était prescriptible selon cette disposition et, cas échéant, s'il était prescrit au moment du dépôt de la demande en justice le 29 juillet 2011.</w:t>
      </w:r>
    </w:p>
    <w:p>
      <w:r>
        <w:rPr>
          <w:b/>
        </w:rPr>
        <w:t>E. 3</w:t>
      </w:r>
    </w:p>
    <w:p>
      <w:r>
        <w:t>Les premiers juges ont en l'occurrence considéré sur la base des deux premiers alinéas de l' art. 41 LPP dans leur teneur en vigueur depuis le 1er janvier 2005 que, puisqu'aucune activité lucrative n'avait été reprise à la suite du licenciement survenu le 24 décembre 1999, la recourante avait déjà quitté l'institution de prévoyance au moment de la survenance du cas d'assurance le 17 décembre 2000 de sorte que son droit à la rente d'invalidité de la prévoyance professionnelle n'était pas imprescriptible, au sens de l' art. 41 al. 1 LPP , et que ledit droit était prescrit selon le délai ordinaire de dix ans de l' art. 41 al. 2 LPP , lors du dépôt de l'action en justice le 29 juillet 2011. L'assurée conteste ce jugement. Elle reproche au tribunal cantonal d'avoir interprété de manière erronée l' art. 41 al. 1 LPP et estime que le principe d'imprescriptibilité doit aussi s'appliquer dans son cas.</w:t>
      </w:r>
    </w:p>
    <w:p>
      <w:r>
        <w:rPr>
          <w:b/>
        </w:rPr>
        <w:t>E. 4.1</w:t>
      </w:r>
    </w:p>
    <w:p>
      <w:r>
        <w:t>Comme mentionné (cf. consid. 3 in initio ), la juridiction cantonale a fondé son argumentation sur l' art. 41 al. 1 et 2 LPP , dans sa teneur en vigueur depuis le 1er janvier 2005.</w:t>
      </w:r>
    </w:p>
    <w:p>
      <w:r>
        <w:rPr>
          <w:b/>
        </w:rPr>
        <w:t>E. 4.2</w:t>
      </w:r>
    </w:p>
    <w:p>
      <w:r>
        <w:t>Selon cette norme, le droit aux prestations est imprescriptible pour autant que l'assuré n'ait pas quitté l'institution de prévoyance lors de la survenance du cas d'assurance (al. 1). L'alinéa 2 reprend l'art. 41 al. 1 aLPP. Il prévoit que les actions en recouvrement de créances se prescrivent par cinq ans si elles touchent des cotisations et des prestations périodiques et par dix ans dans les autres cas. Il renvoie aussi aux art. 129 à 142 du code des obligations.</w:t>
      </w:r>
    </w:p>
    <w:p>
      <w:r>
        <w:rPr>
          <w:b/>
        </w:rPr>
        <w:t>E. 4.3</w:t>
      </w:r>
    </w:p>
    <w:p>
      <w:r>
        <w:t>Conformément à un principe selon lequel les dispositions relatives au régime de prescription d'une nouvelle réglementation ne contenant aucune disposition transitoire à ce propos s'appliquent aux prétentions relevant de l'ancien droit qui ne sont pas prescrites ni périmées (sur ce principe, cf. notamment ATF 132 V 159 consid. 2 p. 161 sv. et les références; voir aussi Attilio Gadola, Verjährung und Verwirkung im öffentlichen Recht in: PJA 1995 p. 58 ou Rhinow/Krähenmann, Schweizerische Verwaltungsrechtsprechung, Ergänzungsband, p. 45 [n° 15-B-III-d]), le délai de dix ans prévu à l'art. 41 al. 1 aLPP (cf. ATF 132 V 159 consid. 3 p. 162 et les références), qui en l'occurrence avait commencé à courir dès la naissance du droit à la rente (sur cette notion, cf. art. 29 al. 1 aLAI dans sa teneur en vigueur jusqu'au 31 décembre 2007 applicable par renvoi de l' art. 26 al. 1 LPP dans sa teneur en vigueur depuis le 1er janvier 1988) ou la survenance de l'invalidité (à ce propos, cf. ATF 134 V 28 consid. 3.4 p. 31 ss; 132 V 159 consid. 4 p. 162 ss et les références) le 17 décembre 2000 d'après les constatations factuelles des premiers juges liant le Tribunal fédéral (cf. consid. 1 et 3), n'était pas encore échu lors de l'entrée en vigueur de la novelle du 3 octobre 2003 modifiant la LPP le 1er janvier 2005 (RO 2004 1677 p. 1700) de sorte que la juridiction cantonale a à juste titre fait application de l' art. 41 LPP dans sa nouvelle teneur. Ces éléments ne sont du reste pas contestés.</w:t>
      </w:r>
    </w:p>
    <w:p>
      <w:r>
        <w:rPr>
          <w:b/>
        </w:rPr>
        <w:t>E. 5.1</w:t>
      </w:r>
    </w:p>
    <w:p>
      <w:r>
        <w:t>Dans la mesure où les avis des premiers juges et de la recourante divergent sur le point de savoir ce qu'il faut entendre dans le cadre des dispositions sur la prescription du droit aux prestations d'invalidité de la prévoyance professionnelle par le fait d'avoir "quitté l'institution de prévoyance au moment de la survenance du cas d'assurance" ("im Zeitpunkt des Versicherungsfalles die Vorsorgeeinrichtung verlassen haben"; "averer lasciato l'istituto di previdenza all'insorgere dell'evento assicurato"), il convient d'en faire l'interprétation d'après les principes développés par la jurisprudence.</w:t>
      </w:r>
    </w:p>
    <w:p>
      <w:r>
        <w:rPr>
          <w:b/>
        </w:rPr>
        <w:t>E. 5.2</w:t>
      </w:r>
    </w:p>
    <w:p>
      <w:r>
        <w:t>Une disposition légale s'interprète d'abord selon sa lettre (interprétation littérale). Si cette interprétation ne donne pas un résultat absolument clair, il appartient alors au juge d'en rechercher la véritable portée. Pour ce faire, celui-ci peut s'inspirer des travaux préparatoires (interprétation historique), du but poursuivi par la règle légale, de son esprit, des valeurs sur lesquelles elle repose ou de l'intérêt qu'elle tend à protéger (interprétation téléologique). Il peut aussi interpréter la norme dans son contexte ou en fonction de l'institution juridique dans laquelle elle se trouve (interprétation systématique). Si plusieurs interprétations sont possibles, il convient de choisir celle qui est conforme à la Constitution (cf. ATF 137 V 405 consid. 4.3 p. 408; 131 III 623 consid. 2.4.4 p. 630 et les références).</w:t>
      </w:r>
    </w:p>
    <w:p>
      <w:r>
        <w:rPr>
          <w:b/>
        </w:rPr>
        <w:t>E. 5.3.1</w:t>
      </w:r>
    </w:p>
    <w:p>
      <w:r>
        <w:t>La loi fédérale du 25 juin 1982 sur la prévoyance professionnelle vieillesse, survivants et invalidité a comme objectif général de compléter les prestations de l'AVS/AI par le versement des prestations qui lui sont propres et de permettre aux personnes âgées, aux survivants et aux invalides de maintenir leur niveau de vie antérieur de façon appropriée ( art. 34quater al. 3 aCst. , art. 113 al. 2 let. a Cst. ; Message du 19 décembre 1975 à l'appui d'un projet de loi sur la prévoyance professionnelle vieillesse, survivants et invalidité in FF 1976 I 117 ch. 312 p. 125). S'agissant en particulier du risque d'invalidité, le système mis en place à l'époque (cf. art. 23 LPP ) exigeait de l'assuré prétendant des prestations d'une institution de prévoyance qu'il ait été affilié à celle-ci lors de la survenance de l'incapacité de travail dont la cause est à l'origine de l'invalidité; le système voulait empêcher que la personne licenciée pour raison de maladie ou d'accident et plus assurée lors de la naissance du droit soit exclue du droit aux prestations (cf. message, FF 1976 I 117 ch. 521.33 p. 200 sv.; ATF 118 V 35 consid. 2a p. 38 ss; voir aussi Viret, L'invalidité dans la prévoyance professionnelle selon la jurisprudence du Tribunal fédéral des assurances in: Journée 1997 du droit du travail et de la sécurité sociale, Zurich 1999 p. 32). La jurisprudence précisait explicitement que l'événement assuré au sens de l' art. 23 LPP était la survenance de l'incapacité de travail dont la cause est à l'origine de l'invalidité indépendamment du point de savoir à partir de quand le droit à la prestation était né (cf. notamment ATF 118 V 35 cité; 117 V 329 consid. 3 p. 331 sv.; voir aussi Viret, op. cit. , p. 34).</w:t>
      </w:r>
    </w:p>
    <w:p>
      <w:r>
        <w:rPr>
          <w:b/>
        </w:rPr>
        <w:t>E. 5.3.2</w:t>
      </w:r>
    </w:p>
    <w:p>
      <w:r>
        <w:t>C'est dans ce cadre que la novelle modifiant la LPP a introduit le caractère imprescriptible du droit aux prestations. La teneur révisée de l' art. 41 al. 1 et 2 LPP correspond à celle à laquelle il est fait référence dans le Message du 1er mars 2000 relatif à la révision de la loi fédérale sur la prévoyance professionnelle vieillesse, survivants et invalidité (cf. FF 2000 2495) et à celle en vigueur actuellement. Bien que l'objectif fût d'unifier les règles de prescription (cf. message, FF 2000 2495 ch. 2.9.3.1 et 2.9.3.2 p. 2537), le législateur a renforcé la protection des assurés par l'introduction du principe d'imprescriptibilité en imposant aux institutions de prévoyance de verser en tout temps une rente d'invalidité à ceux qui bénéficiaient du droit aux prestations ou autrement dit dont le droit était né, même s'ils le faisaient valoir tardivement (cf. message, FF 2000 2495 ch. 2.9.3.3 p. 2538); demeuraient réservées les règles proprement dites sur la prescription des annuités de rentes. Le législateur a entendu limiter l'application du principe d'imprescriptibilité aux assurés qui accédaient à l'âge de la retraite, décédaient ou devenaient invalides sans avoir quitté leur caisse auparavant (cf. message, FF 2000 2495 ch. 4.1 p. 2552).</w:t>
      </w:r>
    </w:p>
    <w:p>
      <w:r>
        <w:rPr>
          <w:b/>
        </w:rPr>
        <w:t>E. 5.3.3</w:t>
      </w:r>
    </w:p>
    <w:p>
      <w:r>
        <w:t>Le message du Conseil fédéral n'apporte pas de précisions supplémentaires par rapport au texte légal sur ce qu'il faut entendre par le fait de ne pas avoir quitté l'institution de prévoyance lors de la survenance du cas d'assurance». Il paraît en outre vain de vouloir chercher des éléments de réponse à ce propos dans la doctrine dès lors que la plupart des auteurs s'est contentée de prendre acte du message sans le commenter (cf. notamment Sylvie Pétremand in: Commentaire LPP et LFLP, 2010, n° 6-9 ad art. 41 LPP ; Riemer/Riemer-Kafka, Das Recht der beruflichen Vorsorge in der Schweiz, 2ème éd., Berne 2006, p. 129 sv.; Jürg Brühwiler, Obligatorische berufliche Vorsorge, in Schweizerisches Bundesverwaltungsrecht [SBVR], Soziale Sicherheit, 2ème éd. 2007, no 163 p. 2061). Il ressort cependant clairement du contexte dans lequel la modification législative a été élaborée (cf. consid. 5.3.1) que le législateur entendait faire profiter de l'imprescriptibilité tous les assurés dont le droit était né et, par conséquent, étaient affiliés à une caisse de pension au moment de l'apparition de l'incapacité de travail dont la cause est à l'origine de l'invalidité. Peu importe que ceux-ci le soient encore au moment de la survenance de l'invalidité. Aucun élément ne laisse d'ailleurs supposer que le législateur voulût modifier le système de l' art. 23 LPP en faisant dépendre la clause d'assurance de la survenance de l'invalidité et plus de la survenance de l'incapacité de travail dont la cause est à l'origine de l'invalidité. Ceci aurait nécessité une modification législative additionnelle. Or, une telle modification n'est pas survenue puisque ladite disposition a substantiellement toujours la même teneur et que l'incapacité de travail est toujours déterminante pour régler la question de la durée temporelle de la couverture d'assurance (cf. ATF 138 V 227 consid. 5.1 p. 231 sv. et les références). L' ATF 134 V 28 (arrêt 9C_172/2007 du 6 novembre 2007) précise certes que l'expression "cas d'assurance" désigne la survenance de l'invalidité, mais ne change rien à ce qui précède dès lors qu'il est postérieur à la modification de l' art. 41 LPP , qu'il ne règle qu'une question de terminologie qui avait pu générer une certaine confusion par le passé (utilisation de l'expression "cas d'assurance" pour désigner indifféremment la survenance de l'incapacité de travail ou celle de l'invalidité; cf. consid. 3.4.1 p. 31 sv.) et qu'il n'entendait pas non plus modifier le système de l' art. 23 LPP (cf. consid. 3.4.2 p. 32).</w:t>
      </w:r>
    </w:p>
    <w:p>
      <w:r>
        <w:rPr>
          <w:b/>
        </w:rPr>
        <w:t>E. 5.3.4</w:t>
      </w:r>
    </w:p>
    <w:p>
      <w:r>
        <w:t>Vu ce qui précède, le "cas d'assurance" mentionné par l' art. 41 al. 1 LPP correspond à l'incapacité de travail dont la cause est à l'origine de l'invalidité dans le cadre du droit aux prestations d'invalidité de la prévoyance professionnelle. Le Tribunal fédéral a du reste confirmé cette interprétation récemment (cf. ATF 140 V 213 consid. 4.4.2 p. 218 s.).</w:t>
      </w:r>
    </w:p>
    <w:p>
      <w:r>
        <w:rPr>
          <w:b/>
        </w:rPr>
        <w:t>E. 6</w:t>
      </w:r>
    </w:p>
    <w:p>
      <w:r>
        <w:t>Dès lors qu'il a été admis que la recourante était assurée par la Secura-Sammelstiftung lors de la survenance de l'incapacité de travail dont la cause est à l'origine de l'invalidité, son droit aux prestations était imprescriptible, contrairement à ce qu'à retenu le tribunal cantonal. Dans la mesure où celui-ci n'a pas jugé utile d'examiner le droit au fond, notamment aux regard des considérants de l'art. 140 V 154, il convient d'annuler le jugement et lui renvoyer la cause afin qu'il procède aux constatations idoines et rendent un nouveau jugement.</w:t>
      </w:r>
    </w:p>
    <w:p>
      <w:r>
        <w:rPr>
          <w:b/>
        </w:rPr>
        <w:t>E. 7</w:t>
      </w:r>
    </w:p>
    <w:p>
      <w:r>
        <w:t>Vu l'issue du litige, les frais et les dépens sont partagés à parts égales entre les caisses intimées (art. 66 al. 1 et 68 al. 1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