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215/2011 vom 30. Mai 2011</w:t>
      </w:r>
    </w:p>
    <w:p>
      <w:r>
        <w:t>Bundesgericht, 2011-05-30, DE</w:t>
      </w:r>
    </w:p>
    <w:p>
      <w:r>
        <w:rPr>
          <w:b/>
        </w:rPr>
        <w:t xml:space="preserve">Quelle: </w:t>
      </w:r>
      <w:r>
        <w:t>https://mcp.opencaselaw.ch/entscheid/bger_9C_215_2011</w:t>
      </w:r>
    </w:p>
    <w:p>
      <w:r>
        <w:t>FR: TF 9C 215/2011 du 30 mai 2011</w:t>
      </w:r>
    </w:p>
    <w:p>
      <w:r>
        <w:t>IT: TF 9C 215/2011 del 30 maggio 2011</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Das kantonale Gericht erwog mit sorgfältiger Begründung, weshalb auf die beantragte öffentliche Verhandlung zu verzichten sei. Namentlich legte es korrekt dar, dass eine solche zur Beurteilung der streitigen Fragen in Zusammenhang mit der Rechtmässigkeit der Nichteintretensverfügung nicht erforderlich war. Die entsprechenden Erwägungen, auf die verwiesen wird ( Art. 109 Abs. 3 BGG ), sind auch unter Berücksichtigung der neueren bundesgerichtlichen Rechtsprechung ( BGE 136 I 279 E. 3.2 S. 284) nicht zu beanstanden. Was die Versicherte vorbringt, vermag keine Bundesrechtswidrigkeit darzutun.</w:t>
      </w:r>
    </w:p>
    <w:p>
      <w:r>
        <w:rPr>
          <w:b/>
        </w:rPr>
        <w:t>E. 3</w:t>
      </w:r>
    </w:p>
    <w:p>
      <w:r>
        <w:t>Die Vorinstanz begründete einlässlich, weshalb eine grundsätzlich beweistaugliche ( BGE 136 V 376 E. 4 S. 377 ff.) und zumutbare (Urteil 9C_28/2010 vom 12. März 2010 E. 4.1 mit Hinweisen) polydisziplinäre Medas-Begutachtung unentbehrlich gewesen wäre. Wenn das kantonale Gericht nach sorgfältiger Würdigung der ärztlichen Beurteilungen das Vorgehen der Beschwerdegegnerin schützte, welche mit Blick auf das unbestritten multifaktoriell geprägte Krankheitsbild und die teilweise divergierenden medizinischen Einschätzungen eine polydisziplinäre Medas-Begutachtung durchführen lassen wollte - wobei die Anordnung der Begutachtung entgegen den Vorbringen in der Beschwerden nicht in Verfügungsform erfolgte ( BGE 136 V 156 E. 4 S. 159 f., Urteil 8C_644/2010 vom 17. Dezember 2010 E. 2.3.2) -, verletzte es auch sonst kein Bundesrecht, namentlich nicht den Anspruch auf rechtliches Gehör (vgl. hiezu BGE 134 I 83 E. 4.1 S. 88; 133 III 439 E. 3.3 S. 445 ; 129 I 232 E. 3.2, je mit Hinweisen). Dass eine zusätzliche Abklärung immer eine Belastung für die betroffene Person bedeutet, kann nicht dazu führen, dass die rechtsanwendenden Behörden auf eine weitere Begutachtung verzichten, obwohl sie zur Auffassung gelangt sind, aufgrund der vorhandenen Akten keine rechtsgenügliche Beurteilung vornehmen zu können. Beim diesbezüglichen Entscheid kommt der Verwaltung nach den korrekten Erwägungen im angefochtenen Entscheid ein Ermessensspielraum zu, in welchen die Gerichte ohne triftigen Grund nicht eingreifen (vgl. dazu auch das bereits zitierte Urteil 9C_28/2010 vom 12. März 2010 a.a.O.). Unbegründet ist sodann die Rüge der unrechtmässigen Aktenführung (welche der Rechtsvertreter der Versicherten im Übrigen bereits in mehreren anderen Prozessen - erfolglos - vorgebracht hatte; vgl. z.B. die bundesgerichtlichen Verfahren 9C_788/2010, 9C_231/2007, U 161/98, 1A.218/1998), zumal die Beschwerdegegnerin die Unterlagen lückenlos nummeriert und grundsätzlich chronologisch abgelegt hat.</w:t>
      </w:r>
    </w:p>
    <w:p>
      <w:r>
        <w:rPr>
          <w:b/>
        </w:rPr>
        <w:t>E. 4</w:t>
      </w:r>
    </w:p>
    <w:p>
      <w:r>
        <w:t>Nach Art. 43 Abs. 3 ATSG kann der Versicherungsträger aufgrund der Akten verfügen oder die Erhebungen einstellen und Nichteintreten beschliessen, wenn die Leistungen beanspruchende Person den Auskunfts- oder Mitwirkungspflichten in unentschuldbarer Weise nicht nachkommt. Er muss die Person vorher schriftlich mahnen und auf die Rechtsfolgen hinweisen, auch ist ihr eine angemessene Bedenkzeit einzuräumen. Es ist unbestritten, dass die Beschwerdeführerin sich der von der IV-Stelle am 3. April 2009 angeordneten Begutachtung durch die Medas, Zentrum X.________, trotz Androhung im Sinne von Art. 43 Abs. 3 ATSG (Schreiben vom 11. Dezember 2009) nicht unterzogen hat. Nach dem Gesagten (E. 3 hievor) war diese Weigerung nicht entschuldbar. Was den Vorwurf betrifft, die IV-Stelle hätte, statt auf das Gesuch nicht einzutreten, aufgrund der Akten entscheiden sollen, sind nach dem Wortlaut von Art. 43 Abs. 3 ATSG zwar sowohl ein Akten- wie auch ein Nichteintretensentscheid möglich und ein Nichteintretensentscheid ist grundsätzlich nur zu treffen, wenn der materielle Entscheid nicht möglich ist ( BGE 131 V 42 E. 3 S. 47; Urteil I 90/04 vom 6. Mai 2004, E. 4). Weil die Aktenlage ohne zusätzliche Abklärungen aber keinen zuverlässigen materiellen Entscheid erlaubte (E. 3 hievor), ist nicht zu beanstanden, dass die Beschwerdegegnerin das Verfahren mit einem Nichteintretensentscheid erledigt hat. Die gegen den Vorbescheid und die Verfügung erhobenen Einwände sind somit auch in diesem Punkt unbegründet.</w:t>
      </w:r>
    </w:p>
    <w:p>
      <w:r>
        <w:rPr>
          <w:b/>
        </w:rPr>
        <w:t>E. 5</w:t>
      </w:r>
    </w:p>
    <w:p>
      <w:r>
        <w:t>Die offensichtlich unbegründete Beschwerde wird im Verfahren nach Art. 109 Abs. 2 lit. a BGG und ohne Durchführung eines Schriftenwechsels erledigt ( Art. 102 Abs. 1 BGG ).</w:t>
      </w:r>
    </w:p>
    <w:p>
      <w:r>
        <w:rPr>
          <w:b/>
        </w:rPr>
        <w:t>E. 6</w:t>
      </w:r>
    </w:p>
    <w:p>
      <w:r>
        <w:t>Die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