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9C_214/2021 vom 21. April 2021</w:t>
      </w:r>
    </w:p>
    <w:p>
      <w:r>
        <w:t>Bundesgericht, 2021-04-21, DE</w:t>
      </w:r>
    </w:p>
    <w:p>
      <w:r>
        <w:rPr>
          <w:b/>
        </w:rPr>
        <w:t xml:space="preserve">Quelle: </w:t>
      </w:r>
      <w:r>
        <w:t>https://mcp.opencaselaw.ch/entscheid/bger_9C_214_2021</w:t>
      </w:r>
    </w:p>
    <w:p>
      <w:r>
        <w:t>FR: TF 9C_214/2021 du 21 avril 2021</w:t>
      </w:r>
    </w:p>
    <w:p>
      <w:r>
        <w:t>IT: TF 9C_214/2021 del 21 aprile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9C_214/2021</w:t>
      </w:r>
    </w:p>
    <w:p>
      <w:r>
        <w:t>Urteil vom 21. April 2021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Ausgleichskasse Luzern,</w:t>
      </w:r>
    </w:p>
    <w:p>
      <w:r>
        <w:t>Würzenbachstrasse 8, 6006 Luzern,</w:t>
      </w:r>
    </w:p>
    <w:p>
      <w:r>
        <w:t>Beschwerdegegnerin.</w:t>
      </w:r>
    </w:p>
    <w:p>
      <w:r>
        <w:t>Gegenstand</w:t>
      </w:r>
    </w:p>
    <w:p>
      <w:r>
        <w:t>Erwerbsersatz für Dienstleistende und bei Mutterschaft (Covid-19),</w:t>
      </w:r>
    </w:p>
    <w:p>
      <w:r>
        <w:t>Beschwerde gegen den Entscheid</w:t>
      </w:r>
    </w:p>
    <w:p>
      <w:r>
        <w:t>des Kantonsgerichts Luzern</w:t>
      </w:r>
    </w:p>
    <w:p>
      <w:r>
        <w:t>vom 26. Februar 2021 (5V 20 286).</w:t>
      </w:r>
    </w:p>
    <w:p>
      <w:r>
        <w:t>Nach Einsicht</w:t>
      </w:r>
    </w:p>
    <w:p>
      <w:r>
        <w:t>in die Beschwerde vom 9. April 2021 (Poststempel) gegen den Entscheid des Kantonsgerichts Luzern vom 26. Februar 2021,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konkret auf die für das Ergebnis des angefochtenen Entscheids massgeblichen Erwägungen der Vorinstanz einzugehen und im Einzelnen aufzuzeigen ist, worin eine Verletzung von Bundesrecht liegt ( BGE 140 III 86 E. 2 S. 88 f.; 134 V 53 E. 3.3 S. 60),</w:t>
      </w:r>
    </w:p>
    <w:p>
      <w:r>
        <w:t>dass das kantonale Gericht den Anspruch der Beschwerdeführerin auf eine Erwerbsausfallentschädigung gemäss Verordnung über Massnahmen bei Erwerbsausfall im Zusammenhang mit dem Coronavirus vom 20. März 2020 (Covid-19; Covid-19-Verordnung Erwerbsausfall; SR 830.31) verneint hat,</w:t>
      </w:r>
    </w:p>
    <w:p>
      <w:r>
        <w:t>dass der Beschwerde vom 9. April 2021 nicht entnommen werden kann, inwiefern die vorinstanzliche Sachverhaltsfeststellung zu den erwerblichen Verhältnissen im Sinne von Art. 97 Abs. 1 BGG - soweit überhaupt beanstandet - unzutreffend und die darauf beruhenden Erwägungen rechtsfehlerhaft sein sollen,</w:t>
      </w:r>
    </w:p>
    <w:p>
      <w:r>
        <w:t>dass es insbesondere nicht genügt, (Grund-) Rechte anzurufen, ohne zugleich aufzuzeigen, inwiefern diese im konkreten Fall verletzt sein sollen,</w:t>
      </w:r>
    </w:p>
    <w:p>
      <w:r>
        <w:t>dass an der unzureichenden Beschwerdebegründung schliesslich die vor Bundesgericht am 14. April 2021 eingereichten Unterlagen, soweit es sich dabei nicht ohnehin um unzulässige Noven im Sinne von Art. 99 Abs. 1 BGG handelt, nichts zu ändern vermögen,</w:t>
      </w:r>
    </w:p>
    <w:p>
      <w:r>
        <w:t>dass demgemäss ein offensichtlicher Begründungsmangel vorliegt,</w:t>
      </w:r>
    </w:p>
    <w:p>
      <w:r>
        <w:t>dass folglich im vereinfachten Verfahren nach Art. 108 Abs. 1 lit. b BGG auf die Beschwerde nicht einzutreten ist und in Anwendung von Art. 66 Abs. 1 Satz 2 BGG auf die Erhebung von Gerichtskosten verzichtet wird,</w:t>
      </w:r>
    </w:p>
    <w:p>
      <w:r>
        <w:t>dass sich deshalb das Gesuch um unentgeltliche Prozessführung als gegenstandslos erweist,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Luzern, 3. Abteilung, und dem Bundesamt für Sozialversicherungen schriftlich mitgeteilt.</w:t>
      </w:r>
    </w:p>
    <w:p>
      <w:r>
        <w:t>Luzern, 21. April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