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9C_214/2013 vom 31. August 2013</w:t>
      </w:r>
    </w:p>
    <w:p>
      <w:r>
        <w:t>Bundesgericht, 2013-08-31, DE</w:t>
      </w:r>
    </w:p>
    <w:p>
      <w:r>
        <w:rPr>
          <w:b/>
        </w:rPr>
        <w:t xml:space="preserve">Quelle: </w:t>
      </w:r>
      <w:r>
        <w:t>https://mcp.opencaselaw.ch/entscheid/bger_9C_214_2013</w:t>
      </w:r>
    </w:p>
    <w:p>
      <w:r>
        <w:t>FR: TF 9C_214/2013 du 31 août 2013</w:t>
      </w:r>
    </w:p>
    <w:p>
      <w:r>
        <w:t>IT: TF 9C_214/2013 del 31 agosto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Die Beschwerdeführer rügen eine Verletzung von Art. 6 Ziff. 1 EMRK bzw. von Art. 29 Abs. 2 BV durch das kantonale Gericht und machen insbesondere geltend, die Vorinstanz habe ihr Replikrecht verletzt.</w:t>
      </w:r>
    </w:p>
    <w:p>
      <w:r>
        <w:rPr>
          <w:b/>
        </w:rPr>
        <w:t>E. 3.1</w:t>
      </w:r>
    </w:p>
    <w:p>
      <w:r>
        <w:t>Gemäss Art. 29 Abs. 1 und 2 BV und Art. 6 EMRK haben die Parteien eines Gerichtsverfahrens einen unbedingten Anspruch darauf, zu sämtlichen Eingaben der Gegenpartei Stellung zu nehmen, falls sie dies wünschen (sog. unbedingtes Replikrecht: BGE 138 I 154 E. 2.3.3 S. 157 ; 137 I 195 E. 2.3.1 S. 197 ; 133 I 100 E. 4.3-4.7 S. 102 ff.). Die Parteien haben somit einen verfassungsmässigen Anspruch darauf, sich zu jeder Eingabe im Verfahren zu äussern, unabhängig davon, ob sie neue oder wesentliche Vorbringen enthält: Es ist Sache der Parteien zu entscheiden, ob sie eine Entgegnung für erforderlich halten oder nicht.</w:t>
      </w:r>
    </w:p>
    <w:p>
      <w:r>
        <w:rPr>
          <w:b/>
        </w:rPr>
        <w:t>E. 3.2</w:t>
      </w:r>
    </w:p>
    <w:p>
      <w:r>
        <w:t>Mithin obliegt dem Gericht, in jedem Einzelfall den Parteien ein effektives Replikrecht zu gewähren. Es kann dem Betroffenen hiefür eine Frist setzen ( BGE 133 V 196 E. 1.2 S. 198). Zur Wahrung des unbedingten Replikrechts genügt indes grundsätzlich, dass den Parteien die Eingaben zur Information (Kenntnisnahme, Orientierung) zugestellt werden, wenn von ihnen, namentlich von anwaltlich Vertretenen oder Rechtskundigen, erwartet werden kann, dass sie unaufgefordert Stellung nehmen ( BGE 138 I 484 E. 2.4 S. 487). Kommen Verfahrensbeteiligte, welche eine solche Eingabe ohne Fristansetzung erhalten haben, zum Schluss, sie möchten nochmals zur Sache Stellung nehmen, so sollen sie dies aus Gründen des Zeitgewinns tun, ohne vorher darum nachzusuchen. Nach Treu und Glauben hat dies umgehend zu erfolgen ( BGE 138 III 252 E. 2.2 S. 255).</w:t>
      </w:r>
    </w:p>
    <w:p>
      <w:r>
        <w:rPr>
          <w:b/>
        </w:rPr>
        <w:t>E. 3.3</w:t>
      </w:r>
    </w:p>
    <w:p>
      <w:r>
        <w:t>Diese Rechtsprechung ist in erster Linie darauf ausgerichtet, Zeit zu sparen, um das Verfahren rasch abschliessen zu können. Deshalb ist unter verfassungsrechtlichen Gesichtspunkten nicht zu beanstanden, wenn das Gericht bei der letztgenannten Vorgehensweise mit der Entscheidfällung nur so lange zuwartet, bis es annehmen darf, der Adressat habe auf eine weitere Eingabe verzichtet (vgl. auch Urteil des EGMR</w:t>
      </w:r>
    </w:p>
    <w:p>
      <w:r>
        <w:t>Joos gegen Schweiz vom 15. November 2012). Die Rechtsprechung bejaht in aller Regel eine Verletzung des rechtlichen Gehörs, wenn das Gericht nur wenige Tage nach Mitteilung der Eingabe entscheidet. In einer etwas allgemeineren Formulierung hielt das Bundesgericht fest, dass jedenfalls vor Ablauf von zehn Tagen nicht, hingegen nach zwanzig Tagen von einem Verzicht auf das Replikrecht ausgegangen werden dürfe (Urteil 9C_193/2013 vom 22. Juli 2013 E. 2.1 mit Hinweis).</w:t>
      </w:r>
    </w:p>
    <w:p>
      <w:r>
        <w:rPr>
          <w:b/>
        </w:rPr>
        <w:t>E. 4</w:t>
      </w:r>
    </w:p>
    <w:p>
      <w:r>
        <w:t>Auch wenn die Beschwerdeführer in der Beschwerdeschrift vom 24. September 2012 vorsorglich die Durchführung eines zweiten Schriftenwechsels beantragt haben, war es dem kantonalen Gericht nicht grundsätzlich verwehrt, die Vernehmlassung der Ausgleichskasse den Beschwerdeführern lediglich zur Kenntnisnahme zuzustellen ( BGE 133 I 98 E. 2.3 S. 100 ; 132 I 42 E. 3.3.4 S. 47; vgl. auch ANDREAS TRAUB, Neues aus den sozialrechtlichen Abteilungen des Bundesgerichts, Replik [auch] im Sozialversicherungsprozess, SZS 2013 S. 394 mit Hinweisen). Indes stellte die Vorinstanz den Beschwerdeführern die Beschwerdeantwort vom 7. November 2012 unbestritten am Mittwoch, 19. Dezember 2012, zu (Postaufgabe) und erliess bereits am Samstag, 22. Dezember 2012, den angefochtenen Nichteintretensentscheid. In dieser äusserst kurzen Zeitspanne war es den Beschwerdeführern nicht möglich, ihr Replikrecht angemessen wahrzunehmen. Es war ihnen auch nicht zumutbar, innert rund eines Arbeitstages um Ansetzung einer Replikfrist nachzusuchen. Unter diesen Umständen konnte das kantonale Gericht nicht von einem Verzicht auf das Recht zur Stellungnahme ausgehen (vgl. E. 3.3 hievor). Indem die Vorinstanz den Nichteintretensentscheid bereits am 22. Dezember 2012 fällte, hat es den Beschwerdeführern verunmöglicht, zur Eingabe der Ausgleichskasse Stellung zu nehmen. Diese Verletzung des Replikrechts der Beschwerdeführer führt zur Aufhebung des angefochtenen Entscheids, zumal der Mangel im bundesgerichtlichen Verfahren infolge der beschränkten Kognition (E. 1 hievor) nicht geheilt werden kann. Die Sache ist zur Gewährung der Verfahrensrechte und zur Neubeurteilung an die Vorinstanz zurückzuweisen.</w:t>
      </w:r>
    </w:p>
    <w:p>
      <w:r>
        <w:rPr>
          <w:b/>
        </w:rPr>
        <w:t>E. 5.1</w:t>
      </w:r>
    </w:p>
    <w:p>
      <w:r>
        <w:t>Es werden keine Gerichtskosten erhoben ( Art. 66 Abs. 1 und 4 BGG ).</w:t>
      </w:r>
    </w:p>
    <w:p>
      <w:r>
        <w:rPr>
          <w:b/>
        </w:rPr>
        <w:t>E. 5.2</w:t>
      </w:r>
    </w:p>
    <w:p>
      <w:r>
        <w:t>Der Kanton Zürich hat die Beschwerdeführer für das bundesgerichtliche Verfahren angemessen zu entschädigen ( Art. 68 Abs. 2 BGG ; BGE 129 V 335 E. 4 S. 342; Art. 9 des Reglements über die Parteientschädigung und die Entschädigung an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