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213/2018 vom 9. April 2018</w:t>
      </w:r>
    </w:p>
    <w:p>
      <w:r>
        <w:t>Bundesgericht, 2018-04-09, DE</w:t>
      </w:r>
    </w:p>
    <w:p>
      <w:r>
        <w:rPr>
          <w:b/>
        </w:rPr>
        <w:t xml:space="preserve">Quelle: </w:t>
      </w:r>
      <w:r>
        <w:t>https://mcp.opencaselaw.ch/entscheid/bger_9C_213_2018</w:t>
      </w:r>
    </w:p>
    <w:p>
      <w:r>
        <w:t>FR: TF 9C 213/2018 du 9 avril 2018</w:t>
      </w:r>
    </w:p>
    <w:p>
      <w:r>
        <w:t>IT: TF 9C 213/2018 del 9 aprile 2018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Entgegen der Auffassung der Beschwerdeführerin enthält die Verfügung vom 1. März 2017 keine Schuldanerkennung (über insgesamt Fr. 3'782.75), sondern lediglich die Feststellung, dass die Easy Sana zur Tilgung der (grundsätzlich) geschuldeten Vergütungen der Beschwerdeführerin "Postchecks" resp. ASR zugestellt habe. Dies hat das kantonale Gericht zutreffend erkannt. (Haupt-) Gegenstand der Verfügung vom 1. März 2017 - wie auch des Einspracheentscheids vom 25. Juli 2017 und des angefochtenen Entscheids vom 4. Januar 2018 (vgl. BGE 125 V 413 E. 1 S. 414 f.) - bildete einzig der Zahlungsmodus resp. die Frage, ob die Vergütungen in bar bei der Beschwerdeführerin zu entrichten sind ("Bringschuld"), oder ob sie durch Zustellung eines ASR beglichen werden können. Von einer unrechtmässigen reformatio in peius der Verfügung durch den Einspracheentscheid im Sinne einer Reduktion eines anerkannten Schuldbetrages kann daher keine Rede sein. Mit der Verneinung des in der Hauptsache geltend gemachten Barzahlungsanspruchs wurde jeweils auch das damit verbundene (Neben-) Begehren auf Verzugszins implizit abgewiesen. Die Beschwerdeführerin machte und macht denn auch nicht geltend, dass bei Zulässigkeit der Tilgung mittels ASR ein Anspruch auf Verzugszinsen (vgl. Art. 26 Abs. 2 ATSG ) bestehen soll.</w:t>
      </w:r>
    </w:p>
    <w:p>
      <w:r>
        <w:rPr>
          <w:b/>
        </w:rPr>
        <w:t>E. 2.2</w:t>
      </w:r>
    </w:p>
    <w:p>
      <w:r>
        <w:t>Das kantonale Gericht hat festgestellt, die Easy Sana habe ihre Vergütungen in Form von ASR begleichen wollen und habe solche der Beschwerdeführerin zugestellt. Diese habe sie bei der Post nicht eingelöst, sondern auf Barzahlung an ihrem Wohnort bestanden. Sodann hat es erwogen, Art. 7 Ziff. 4 der ergänzenden Ausführungsbestimmungen zur obligatorischen Krankenversicherung gemäss KVG (AVB) der Easy Sana enthalte eine von Art. 74 Abs. 2 Ziff. 1 OR abweichende (vertragliche) Bestimmung. Daraus gehe unzweifelhaft hervor, dass die Zahlungen an die Versicherten normalerweise (spesenfrei) mittels Überweisung auf ein Bank- oder Postkonto und in Ausnahmefällen (unter Spesenfolgen für die begünstigte Person) mittels ASR erfolgten, während eine Barauszahlung nicht vorgesehen sei. Mit der Zustellung der ASR habe die Easy Sana ihre Vergütung gültig angeboten; damit sei sie ihren Verpflichtungen nachgekommen. Die Beschwerdeführerin brauche die ASR lediglich einzulösen, um zum Bargeld zu kommen. Folglich hat es die Beschwerde abgewiesen, und zwar auch in Bezug auf die beantragte Bezifferung des "Betrags, den die Bg an die BF zu zahlen hat".</w:t>
      </w:r>
    </w:p>
    <w:p>
      <w:r>
        <w:rPr>
          <w:b/>
        </w:rPr>
        <w:t>E. 2.3</w:t>
      </w:r>
    </w:p>
    <w:p>
      <w:r>
        <w:t>Dass die vorinstanzlichen Feststellungen offensichtlich unrichtig sein oder auf einer Rechtsverletzung beruhen sollen, ist nicht ersichtlich. Sie bleiben für das Bundesgericht verbindlich (E. 1). Die Beschwerdeführerin befasst sich in ihren weitschweifigen (vgl. Art. 42 Abs. 6 BGG ) Ausführungen nicht mit den entscheidenden Erwägungen des angefochtenen Entscheids (E. 2.2). Weder die Bezeichnung der ASR als "Checks" resp. "Postchecks" noch deren rechtliche Qualifikation ist für den Ausgang des Verfahrens von Belang. Sodann macht die Beschwerdeführerin auch nicht geltend, dass sie die ihr zugestellten ASR (rechtzeitig) erfolglos einzulösen versucht habe.</w:t>
      </w:r>
    </w:p>
    <w:p>
      <w:r>
        <w:rPr>
          <w:b/>
        </w:rPr>
        <w:t>E. 2.4</w:t>
      </w:r>
    </w:p>
    <w:p>
      <w:r>
        <w:t>Da die Beschwerde - soweit sie nicht ohnehin als querulatorisch und/oder rechtsmissbräuchlich zu qualifizieren ist ( Art. 42 Abs. 7 BGG ) - offensichtlich unbegründet ist, wird sie im Verfahren nach Art. 109 Abs. 2 lit. a BGG mit summarischer Begründung und unter Hinweis auf den kantonalen Gerichtsentscheid (Abs. 3) erledigt.</w:t>
      </w:r>
    </w:p>
    <w:p>
      <w:r>
        <w:rPr>
          <w:b/>
        </w:rPr>
        <w:t>E. 3</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