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9C_212/2010 vom 16. August 2010</w:t>
      </w:r>
    </w:p>
    <w:p>
      <w:r>
        <w:t>Bundesgericht, 2010-08-16, FR</w:t>
      </w:r>
    </w:p>
    <w:p>
      <w:r>
        <w:rPr>
          <w:b/>
        </w:rPr>
        <w:t xml:space="preserve">Quelle: </w:t>
      </w:r>
      <w:r>
        <w:t>https://mcp.opencaselaw.ch/entscheid/bger_9C_212_2010</w:t>
      </w:r>
    </w:p>
    <w:p>
      <w:r>
        <w:t>FR: TF 9C_212/2010 du 16 août 2010</w:t>
      </w:r>
    </w:p>
    <w:p>
      <w:r>
        <w:t>IT: TF 9C_212/2010 del 16 agosto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 fondant principalement sur la description des effets induits par la maladie de Crohn et le témoignage du docteur R.________, la juridiction cantonale a considéré que l'intimé n'était pas en mesure, en l'état des choses, de mettre à profit une quelconque capacité de travail.</w:t>
      </w:r>
    </w:p>
    <w:p>
      <w:r>
        <w:rPr>
          <w:b/>
        </w:rPr>
        <w:t>E. 2.2</w:t>
      </w:r>
    </w:p>
    <w:p>
      <w:r>
        <w:t>L'office recourant n'établit nullement, au moyen d'une argumentation précise et étayée, le caractère insoutenable de la constatation des faits opérée par les premiers juges et de l'appréciation juridique qu'ils ont faite de la situation. Contrairement à ce que celui-ci soutient, le dossier contient une appréciation de la capacité de travail de l'intimé. Le docteur R.________ a indiqué en audience douter, au regard de l'imprévisibilité des symptômes, que son patient puisse assumer une activité professionnelle de manière satisfaisante et qu'un employeur consente objectivement à l'engager. Si l'office recourant avait un doute quant au bien-fondé de ces propos, il lui appartenait d'interpeller en temps utile la juridiction cantonale afin de requérir l'administration d'autres moyens de preuve, tels que la production de pièces ou l'audition de personnes susceptibles de renseigner le tribunal. Certes, le SMR a affirmé à plusieurs reprises que l'intimé disposait d'une pleine capacité de travail. Il convient toutefois de relativiser la portée de ces brefs rapports de synthèse, dans la mesure où ils ont été établis par un médecin dont la spécialité n'est pas la gastro-entérologie. D'ailleurs, il ne font état d'aucun élément médical objectivement vérifiable qui laisserait à penser que l'intimé disposerait d'une capacité résiduelle de travail. A cet égard, il n'y a pas lieu d'examiner la portée des bilans sanguins effectués par le docteur R.________, dès lors que l'office recourant ne cherche pas à démontrer que les résultats de ces analyses seraient de nature à modifier l'appréciation de la juridiction cantonale.</w:t>
      </w:r>
    </w:p>
    <w:p>
      <w:r>
        <w:rPr>
          <w:b/>
        </w:rPr>
        <w:t>E. 3</w:t>
      </w:r>
    </w:p>
    <w:p>
      <w:r>
        <w:t>Mal fondé, le recours doit être rejeté. Vu l'issue du litige, les frais et les dépens de la procédure sont mis à la charge de l'office recourant (art. 66 al. 1 et 68 al. 1 LTF), ce qui rend sans objet la demande d'assistance judiciaire présentée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