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9C_211/2010 vom 18. Februar 2011</w:t>
      </w:r>
    </w:p>
    <w:p>
      <w:r>
        <w:t>Bundesgericht, 2011-02-18, IT</w:t>
      </w:r>
    </w:p>
    <w:p>
      <w:r>
        <w:rPr>
          <w:b/>
        </w:rPr>
        <w:t xml:space="preserve">Quelle: </w:t>
      </w:r>
      <w:r>
        <w:t>https://mcp.opencaselaw.ch/entscheid/bger_9C_211_2010</w:t>
      </w:r>
    </w:p>
    <w:p>
      <w:r>
        <w:t>FR: TF 9C_211/2010 du 18 février 2011</w:t>
      </w:r>
    </w:p>
    <w:p>
      <w:r>
        <w:t>IT: TF 9C_211/2010 del 18 febbraio 2011</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la cui mancata ottemperanza conduce all'inammissibilità del gravame ( art. 108 cpv. 1 lett. b LTF ; DTF 133 III 589 consid. 2 pag. 591 seg.), il Tribunale federale esamina di principio unicamente le censure sollevate; non è tenuto, come lo è invece un'autorità di prima istanza, ad esaminare tutte le questioni giuridiche possibili, se queste non gli vengono (più) riproposte ( DTF 133 II 249 consid. 1.4.1 pag. 254, 545 consid. 2.2). Per il resto, fonda la sua sentenza sui fatti accertati dall'autorità inferiore ( art. 105 cpv. 1 LTF ). Può scostarsi da questo accertamento solo qualora esso sia avvenuto in modo manifestamente inesatto o in violazione del diritto ai sensi dell' art. 95 LTF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 ( art. 97 cpv. 1 LTF ).</w:t>
      </w:r>
    </w:p>
    <w:p>
      <w:r>
        <w:rPr>
          <w:b/>
        </w:rPr>
        <w:t>E. 2</w:t>
      </w:r>
    </w:p>
    <w:p>
      <w:r>
        <w:t>Preliminarmente, la ricorrente rimprovera alla Corte cantonale di avere reso la pronuncia impugnata a giudice unico.</w:t>
      </w:r>
    </w:p>
    <w:p>
      <w:r>
        <w:rPr>
          <w:b/>
        </w:rPr>
        <w:t>E. 2.1</w:t>
      </w:r>
    </w:p>
    <w:p>
      <w:r>
        <w:t>Già è stato detto in passato, con riferimento alla precedente versione della legge ticinese di procedura per le cause davanti al Tribunale cantonale delle assicurazioni del 6 aprile 1961 (Lptca; vecchio art. 2 cpv. 1) che i membri del Tribunale cantonale delle assicurazioni possono decidere nella composizione di un giudice unico le cause che non pongono questioni di principio o che non sono di rilevante importanza. Sono state considerate tali le vertenze nelle quali il tema giuridico è già risolto da consolidata giurisprudenza federale, quelle che non presentano particolari difficoltà nell'apprezzamento delle prove o quelle nelle quali il valore di causa è estremamente ridotto (sentenza del Tribunale federale delle assicurazioni U 347/98 del 10 ottobre 2001, in RDAT I-2002 n. 11 pag. 190 consid. 1c; cfr. pure sentenza 9C_792/2007 del 7 novembre 2008 consid. 2). Sebbene la nuova Lptca del 23 giugno 2008 (v. RL/TI 3.4.1.1) non preveda più espressamente questa possibilità, il principio è tuttora ancorato all'art. 49 cpv. 2 della legge cantonale sull'organizzazione giudiziaria del 10 maggio 2006 (LOG; RL/TI 3.1.1.1). Questo disposto stabilisce infatti che il Tribunale cantonale delle assicurazioni, il Tribunale cantonale amministrativo e la Camera di diritto tributario possono decidere nella composizione di un giudice unico le cause che non pongono questioni di principio o che non sono di rilevante importanza. Ne consegue che, contrariamente a quanto sostenuto nel ricorso, la revisione della Lptca non ha apportato alcuna modifica sostanziale in questo ambito, come conferma del resto anche la lettura del messaggio del Consiglio di Stato ticinese n. 6049 del 1° aprile 2008 (consultabile al sito www.ti.ch).</w:t>
      </w:r>
    </w:p>
    <w:p>
      <w:r>
        <w:rPr>
          <w:b/>
        </w:rPr>
        <w:t>E. 2.2</w:t>
      </w:r>
    </w:p>
    <w:p>
      <w:r>
        <w:t>Orbene, la decisione del Tribunale cantonale di statuire nel caso di specie a giudice unico non è contraria all' art. 30 cpv. 1 Cost. poiché, anche per quanto verrà esposto in seguito, il tema giuridico della vertenza è regolato da consolidata giurisprudenza federale. Del resto, il caso della ricorrente si inserisce nella serie dei molti ricorsi presentati da frontalieri italiani contro le affiliazioni d'ufficio ordinate dagli organi esecutivi dell'assicurazione malattia svizzera, sulla cui questione di principio l'istanza giudiziaria cantonale si era già pronunciata a tre giudici (v. giudizio n. 36.2009.18 del 9 novembre 2009, sempre consultabile al sito www.ti.ch). È vero, esso differisce dalle vertenze fin qui esaminate (e risolte nella sentenza 9C_1042/2009 [pubblicata in DTF 136 V 295 ]) nella misura in cui riguarda una situazione che si può dire opposta alle altre. La ricorrente - che afferma di avere regolarmente compilato e rispedito a tale scopo il modulo per esercitare il diritto di opzione in favore del sistema sanitario italiano - non contesta infatti di essere stata a conoscenza di tale possibilità, ma solo di non aver esercitato tempestivamente questo diritto come le rimprovera invece la Corte cantonale. Ciò non toglie tuttavia che la decisione della Corte cantonale sia comunque difendibile, ritenuto che la vertenza nemmeno pone questioni di principio o presenta particolari difficoltà nell'apprezzamento delle prove.</w:t>
      </w:r>
    </w:p>
    <w:p>
      <w:r>
        <w:rPr>
          <w:b/>
        </w:rPr>
        <w:t>E. 3.1</w:t>
      </w:r>
    </w:p>
    <w:p>
      <w:r>
        <w:t>Come in sede cantonale, la ricorrente ribadisce di avere esercitato correttamente e tempestivamente il proprio diritto di opzione con la spedizione del modulo (TI1) all'UAM. Contesta al primo giudice un'applicazione arbitraria e discriminatoria delle regole relative alla notifica di atti nella misura in cui - come nel caso pilota - darebbe per scontata la loro trasmissione da parte dell'amministrazione se sono i privati a contestarne la ricezione, mentre accollerebbe - come nel caso di specie - a questi ultimi il relativo onere della prova se sono loro ad avere effettuato la spedizione e se è l'amministrazione a contestarne la ricezione. In questo modo, censura l'insorgente, il giudice di prime cure avrebbe utilizzato due pesi diversi nell'applicazione dei precetti in materia. Rimprovera inoltre un apprezzamento arbitrario delle prove nella misura in cui la pronuncia impugnata non terrebbe adeguatamente conto delle sue sincere e coerenti affermazioni che sarebbero per giunta state confermate dalla teste O.________ - rappresentante della datrice di lavoro -, la quale avrebbe dichiarato di avere inviato pure lei all'istituto delle assicurazioni sociali uno scritto attestante la volontà dell'impiegata di non assoggettarsi a una cassa malati svizzera.</w:t>
      </w:r>
    </w:p>
    <w:p>
      <w:r>
        <w:rPr>
          <w:b/>
        </w:rPr>
        <w:t>E. 3.2</w:t>
      </w:r>
    </w:p>
    <w:p>
      <w:r>
        <w:t>Gli art. 84-93 del regolamento (CEE) n. 1408/71 relativo all'applicazione dei regimi di sicurezza sociale ai lavoratori subordinati, ai lavoratori autonomi e ai loro familiari che si spostano all'interno della Comunità (RS 0.831.109.268.1) - applicabile nel caso di specie e al quale rinviano sia l'art. 1 cpv. 1 dell'Allegato II ALC sia la LAMal (art. 95a) - contengono alcune norme di procedura amministrativa internazionale (v. DTF 136 V 295 consid. 5.4 pag. 306). Tuttavia,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 SVR 2006 KV n. 6 pag. 13 [K 44/03] consid. 2.4; 2005 AHV n. 1 pag. 1 [H 377/01]).</w:t>
      </w:r>
    </w:p>
    <w:p>
      <w:r>
        <w:rPr>
          <w:b/>
        </w:rPr>
        <w:t>E. 3.3</w:t>
      </w:r>
    </w:p>
    <w:p>
      <w:r>
        <w:t>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 DTF 117 V 261 consid. 3b pag. 264; 114 V 213 consid. 5 pag. 218 con riferimenti).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infatti la prova della verosimiglianza preponderante non basta. La tempestività dell'atto o della dichiarazione deve essere determinata con certezza (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 circostanza che la ricorrente peraltro nemmeno pretende -, compatibilmente quindi anche con il principio dell'effettività (v. per analogia DTF 130 V 132 consid. 4.1 pag. 137).</w:t>
      </w:r>
    </w:p>
    <w:p>
      <w:r>
        <w:rPr>
          <w:b/>
        </w:rPr>
        <w:t>E. 3.4</w:t>
      </w:r>
    </w:p>
    <w:p>
      <w:r>
        <w:t>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w:t>
      </w:r>
    </w:p>
    <w:p>
      <w:r>
        <w:rPr>
          <w:b/>
        </w:rPr>
        <w:t>E. 3.5</w:t>
      </w:r>
    </w:p>
    <w:p>
      <w:r>
        <w:t>Quanto alla preoccupazione espressa nel ricorso riguardo a una applicazione a senso unico e favorevole all'amministrazione delle regole relative alla notifica di atti, essa va relativizzata alla luce di quanto poc'anzi esposto come pure della sentenza DTF 136 V 295 .</w:t>
      </w:r>
    </w:p>
    <w:p>
      <w:r>
        <w:rPr>
          <w:b/>
        </w:rPr>
        <w:t>E. 3.6</w:t>
      </w:r>
    </w:p>
    <w:p>
      <w:r>
        <w:t>Per il resto, il giudice cantonale ha pertinentemente evidenziato come nemmeno l'Accordo del 26 ottobre 2004 tra la Confederazione Svizzera, l'Unione europea e la Comunità europea, riguardante l'associazione della Svizzera all'attuazione, all'applicazione e allo sviluppo dell'acquis di Schengen, entrato in vigore il 1° marzo 2008 (RS 0.362.31), possa modificare questa valutazione. Questo Accordo non disciplina infatti il coordinamento dei sistemi di sicurezza sociale come invece fa l'ALC ( art. 8 ALC ), la cui validità e applicabilità in concreto rimangono impregiudicate (v. art. 12 cpv. 1 dell'Accordo di Schengen).</w:t>
      </w:r>
    </w:p>
    <w:p>
      <w:r>
        <w:rPr>
          <w:b/>
        </w:rPr>
        <w:t>E. 3.7</w:t>
      </w:r>
    </w:p>
    <w:p>
      <w:r>
        <w:t>Né la ricorrente può quindi rimproverare alle precedenti istanze un'applicazione eccessivamente formalistica delle norme (nazionali e internazionali) in materia, non fosse altro perché il termine di tre mesi per esercitare - in deroga al principio altrimenti valido della lex loci laboris - il diritto di opzione è direttamente prescritto, per ovvie ragioni di sicurezza giuridica, dall'ALC e perché le autorità amministrative elvetiche - avvalendosi della possibilità concessa dall'Allegato II ALC (Sezione A cpv. 1 lett. o cifra 3 b aa seconda frase) di rendere efficace dall'inizio dell'assoggettamento all'assicurazione obbligatoria l'esenzione quando in casi giustificati la richiesta è presentata dopo il termine di tre mesi - hanno comunque deciso di prorogare questo termine proprio per venire incontro agli interessi dei numerosi frontalieri che fino ad allora erano rimasti inadempienti o comunque silenti.</w:t>
      </w:r>
    </w:p>
    <w:p>
      <w:r>
        <w:rPr>
          <w:b/>
        </w:rPr>
        <w:t>E. 3.8</w:t>
      </w:r>
    </w:p>
    <w:p>
      <w:r>
        <w:t>Infine, la pronuncia impugnata neppure è censurabile per non avere esteso l'assoggettamento d'ufficio ai figli della ricorrente. A parte il fatto che la decisione amministrativa come pure quella su reclamo non si esprimono espressamente sulla loro situazione ma contemplano unicamente l'obbligo di segnalare il nominativo di familiari residenti in uno Stato della CE e che pertanto, in assenza di un provvedimento formale, la loro situazione non ne risulta pregiudicata, si osserva che ancora nel luglio 2009 la ricorrente era ufficialmente sposata, sebbene fosse separata dal marito. Anche in considerazione di questo fatto, la conclusione del primo giudice che non ha riformato la decisione (su reclamo) a sfavore dell'interessata (v. art. 61 cpv. 1 lett. d LPGA) e che non ha esteso l'obbligo di affiliazione ai figli non è per nulla assurda come vuole invece fare credere l'insorgente. Né tanto meno quest'ultimo può seriamente rimproverare, in manifesto contrasto con le tavole processuali, all'amministrazione di avere proceduto, in sede di decisione su reclamo, a una reformatio in peius inaudita parte facendo retroagire al 1° ottobre 2008 l'obbligo di affiliazione. Basta leggere il relativo provvedimento (v. pag. 6) per avvedersi che l'UAM aveva in realtà rinunciato a fare valere una simile eventualità.</w:t>
      </w:r>
    </w:p>
    <w:p>
      <w:r>
        <w:rPr>
          <w:b/>
        </w:rPr>
        <w:t>E. 4</w:t>
      </w:r>
    </w:p>
    <w:p>
      <w:r>
        <w:t>Ne segue che il ricorso dev'essere respinto. In considerazione delle particolari circostanze del caso, della situazione economica della ricorrente come pure del fatto che le sue conclusioni non risultavano a priori prive di probabilità di successo, l'istanza tendente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