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9C_210/2016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https://mcp.opencaselaw.ch/entscheid/bger_9C_210_2016</w:t>
      </w:r>
    </w:p>
    <w:p>
      <w:r>
        <w:t>FR: TF 9C_210/2016 du 22 mars 2016</w:t>
      </w:r>
    </w:p>
    <w:p>
      <w:r>
        <w:t>IT: TF 9C_210/2016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9C_210/2016</w:t>
      </w:r>
    </w:p>
    <w:p>
      <w:r>
        <w:t>Urteil vom 22. März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Basel-Landschaft, Hauptstrasse 109, 4102 Binningen,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Kantonsgerichts Basel-Landschaft vom 4. Dezember 2015.</w:t>
      </w:r>
    </w:p>
    <w:p>
      <w:r>
        <w:t>Nach Einsicht</w:t>
      </w:r>
    </w:p>
    <w:p>
      <w:r>
        <w:t>in die dem Bundesgericht am 17. März 2016 persönlich überbrachte Beschwerde gegen den Entscheid des Kantonsgerichts Basel-Landschaft, Abteilung Sozialversicherungsrecht, vom 4. Dezember 2015,</w:t>
      </w:r>
    </w:p>
    <w:p>
      <w:r>
        <w:t>in Erwägung,</w:t>
      </w:r>
    </w:p>
    <w:p>
      <w:r>
        <w:t>dass nach der Rechtsprechung ( BGE 137 V 51 ) die Beschwerde in öffentlich-rechtlichen Angelegenheiten im Sinne von Art. 82 ff. BGG gegen einen Entscheid über die Arbeitgeberhaftung gemäss Art. 52 Abs. 1 AHVG nur zulässig ist, wenn der Streitwert mindestens Fr. 30'000.- beträgt ( Art. 85 Abs. 1 lit. a BGG ) oder sich eine Rechtsfrage von grundsätzlicher Bedeutung stellt ( Art. 85 Abs. 2 BGG ),</w:t>
      </w:r>
    </w:p>
    <w:p>
      <w:r>
        <w:t>dass im hier zu beurteilenden Fall keine dieser Voraussetzungen erfüllt ist, weil der Streitwert mit Fr. 25'583.25 die erforderliche Grenze nicht erreicht und weder ersichtlich ist noch dargelegt wird ( Art. 42 Abs. 1 und 2 BGG ), dass sich eine Rechtsfrage von grundsätzlicher Bedeutung stellt,</w:t>
      </w:r>
    </w:p>
    <w:p>
      <w:r>
        <w:t>dass angesichts der Unzulässigkeit der Beschwerde in öffentlich-rechtlichen Angelegenheiten nur die subsidiäre Verfassungsbeschwerde ( Art. 113 ff. BGG ) in Frage kommt, wobei einzig die Verletzung verfassungsmässiger Rechte gerügt werden kann ( Art. 116 BGG ) und das Bundesgericht solche Verletzungen lediglich insofern prüft, als eine entsprechende Rüge in der Beschwerde rechtsgenügend vorgebracht, klar erhoben und belegt worden ist (Art. 106 Abs. 2 in Verbindung mit Art. 117 BGG ; BGE 138 I 232 E. 3 S. 237 ; 134 I 83 E. 3.2 S. 88),</w:t>
      </w:r>
    </w:p>
    <w:p>
      <w:r>
        <w:t>dass die Eingabe vom 17. März 2016 diesen inhaltlichen Mindestanforderungen nicht genügt, weil darin keine Verfassungsverletzung gerügt wird,</w:t>
      </w:r>
    </w:p>
    <w:p>
      <w:r>
        <w:t>dass deshalb im vereinfachten Verfahren nach Art. 108 Abs. 1 lit. a und Abs. 2 BGG bzw. Art. 117 in Verbindung mit Art. 108 Abs. 1 lit. b und Abs. 2 BGG auf die Beschwerde nicht einzutreten ist,</w:t>
      </w:r>
    </w:p>
    <w:p>
      <w:r>
        <w:t>dass in Anwendung von Art. 66 Abs. 1 Satz 2 BGG auf die Erhebung von Gerichtskosten umständehalber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Basel-Landschaft, Abteilung Sozialversicherungsrecht, und dem Bundesamt für Sozialversicherungen schriftlich mitgeteilt.</w:t>
      </w:r>
    </w:p>
    <w:p>
      <w:r>
        <w:t>Luzern, 22. März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