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9C_210/2010 vom 7. September 2010</w:t>
      </w:r>
    </w:p>
    <w:p>
      <w:r>
        <w:t>Bundesgericht, 2010-09-07, FR</w:t>
      </w:r>
    </w:p>
    <w:p>
      <w:r>
        <w:rPr>
          <w:b/>
        </w:rPr>
        <w:t xml:space="preserve">Quelle: </w:t>
      </w:r>
      <w:r>
        <w:t>https://mcp.opencaselaw.ch/entscheid/bger_9C_210_2010</w:t>
      </w:r>
    </w:p>
    <w:p>
      <w:r>
        <w:t>FR: TF 9C_210/2010 du 7 septembre 2010</w:t>
      </w:r>
    </w:p>
    <w:p>
      <w:r>
        <w:t>IT: TF 9C_210/2010 del 7 settembre 2010</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1.2</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Dans la mesure cependant où il en va de l'évaluation de l'exigibilité d'une activité professionnelle au regard de l'expérience de la vie, il s'agit d'une question de droit qui peut être examinée librement en instance fédérale.</w:t>
      </w:r>
    </w:p>
    <w:p>
      <w:r>
        <w:rPr>
          <w:b/>
        </w:rPr>
        <w:t>E. 2</w:t>
      </w:r>
    </w:p>
    <w:p>
      <w:r>
        <w:t>Il est constant que le statut de la recourante est celui d'une personne exerçant une activité lucrative.</w:t>
      </w:r>
    </w:p>
    <w:p>
      <w:r>
        <w:rPr>
          <w:b/>
        </w:rPr>
        <w:t>E. 2.1</w:t>
      </w:r>
    </w:p>
    <w:p>
      <w:r>
        <w:t>Le litige, relatif au droit de la recourante à une rente d'invalidité, porte sur l'incidence de l'atteinte à la santé sur sa capacité de travail et de gain, singulièrement a trait à la capacité de travail exigible dans une activité adaptée.</w:t>
      </w:r>
    </w:p>
    <w:p>
      <w:r>
        <w:rPr>
          <w:b/>
        </w:rPr>
        <w:t>E. 2.2</w:t>
      </w:r>
    </w:p>
    <w:p>
      <w:r>
        <w:t>Le jugement entrepris expose correctement les dispositions légales relatives aux notions d'incapacité de gain ( art. 7 LPGA jusqu'au 31 décembre 2007; art. 7 al. 1 et 2 LPGA depuis le 1er janvier 2008) et d'invalidité ( art. 4 al. 1 LAI et art. 8 al. 1 LPGA ), ainsi que les règles régissant l'évaluation de l'invalidité des assurés exerçant une activité lucrative ( art. 16 LPGA en corrélation avec l' art. 28 al. 2 LAI jusqu'au 31 décembre 2007 et avec l' art. 28a al. 1 LAI depuis le 1er janvier 2008) et les principes jurisprudentiels y relatifs, lesquels continuent à s'appliquer après l'entrée en vigueur, le 1er janvier 2008, de la novelle du 6 octobre 2006 [5e révision de l'AI] (arrêt 8C_373/2008 du 28 août 2008, consid. 2.1). On peut ainsi y renvoyer.</w:t>
      </w:r>
    </w:p>
    <w:p>
      <w:r>
        <w:rPr>
          <w:b/>
        </w:rPr>
        <w:t>E. 2.3</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Du jugement entrepris, il résulte que la recourante est atteinte de coxarthrose secondaire bilatérale et de dystrophie ostéochondrale à transmission autosomique dominante se manifestant au niveau des deux hanches, cheville gauche et épaule droite, et qu'elle présente des limitations fonctionnelles en raison des troubles articulaires des membres inférieurs l'obligeant à avoir un travail sédentaire ou semi-sédentaire qui privilégie la position assise dans lequel elle puisse alterner les positions (éviter le port d'objets d'un poids supérieur à 5 kg et les travaux en porte-à-faux) et au niveau des membres supérieurs (éviter les mouvements au-delà de l'horizontale). Il en ressort également qu'elle est atteinte d'une choriorétinopathie de type birdshot bilatérale et que ses performances visuelles sont subjectivement restreintes, ce qui se manifeste par une capacité de concentration limitée et une fatigabilité accrue lors du travail sur écran qui requiert une interruption transitoire de celui-ci de manière à reposer les yeux.</w:t>
      </w:r>
    </w:p>
    <w:p>
      <w:r>
        <w:rPr>
          <w:b/>
        </w:rPr>
        <w:t>E. 3.1</w:t>
      </w:r>
    </w:p>
    <w:p>
      <w:r>
        <w:t>Les premiers juges ont constaté que dans son activité habituelle de secrétaire dans le domaine social, la recourante était en réalité occupée à 10 % au service des repas (un véhicule professionnel étant mis à sa disposition à cet effet) et à 40 % au secrétariat. A l'instar des docteurs D.________ et N.________, ils ont admis que cette activité était compatible avec les limitations fonctionnelles précitées. Ils ont relevé qu'une activité de secrétaire ne se résumait pas à l'utilisation d'un écran d'ordinateur, mais demandait également l'accomplissement d'autres travaux tels que le traitement du courrier, le classement, le téléphone, la réception, la prise de rendez-vous, etc. (soit typiquement l'activité de secrétaire médicale pour laquelle l'intéressée avait bénéficié d'une formation par le biais de l'assurance-chômage), et que des activités industrielles légères paraissaient également compatibles avec les limitations fonctionnelles. Pour ces motifs, ils ont fait leurs les conclusions des médecins du SMR dans leurs rapports des 31 mai 2005 et 8 (recte: 9) avril 2008 en ce qui concerne la capacité de travail exigible de 80 % dans une activité adaptée, tout en relevant que ces possibilités d'emploi étaient réalistes et correspondaient à l'offre de la main-d'oeuvre sur le marché du travail.</w:t>
      </w:r>
    </w:p>
    <w:p>
      <w:r>
        <w:rPr>
          <w:b/>
        </w:rPr>
        <w:t>E. 3.2</w:t>
      </w:r>
    </w:p>
    <w:p>
      <w:r>
        <w:t>La recourante reproche à l'autorité précédente de n'avoir rien dit sur les motifs pour lesquels elle écartait les avis des docteurs C.________, D.________ et L.________ et d'avoir ainsi procédé à une appréciation arbitraire des faits en ce qui concerne la capacité de travail dans une activité adaptée.</w:t>
      </w:r>
    </w:p>
    <w:p>
      <w:r>
        <w:rPr>
          <w:b/>
        </w:rPr>
        <w:t>E. 3.3</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I 140 consid. 5.4 p. 148, 134 V 53 consid. 4.3 p. 62 et les références). Il appartient au recourant de démontrer le caractère arbitraire par une argumentation répondant aux exigences de l' art. 42 al. 2 LTF , respectivement de l' art. 106 al. 2 LTF ( ATF 135 III 127 consid. 1.6 p. 130 et l'arrêt cité, 134 II 244 consid. 2.2 p. 246, 133 II 249 consid. 1.4.3 p. 254 s.).</w:t>
      </w:r>
    </w:p>
    <w:p>
      <w:r>
        <w:rPr>
          <w:b/>
        </w:rPr>
        <w:t>E. 3.4</w:t>
      </w:r>
    </w:p>
    <w:p>
      <w:r>
        <w:t>La recourante ne démontre nullement que l'appréciation des preuves par l'autorité précédente soit manifestement insoutenable. On ne voit pas que les premiers juges, en retenant que la capacité de travail exigible était de 80 % dans une activité adaptée - soit une activité compatible avec les limitations fonctionnelles, qui puisse être exercée sans usage prolongé de l'ordinateur et sans sollicitation intensive de la vue (rapport du docteur N.________ du 9 avril 2008) -, aient établi les faits de façon manifestement inexacte ou en violation du droit ( ATF 134 V 53 consid. 4.3 p. 62). Dans son rapport du 11 mars 2008, le docteur D.________ a indiqué qu'une activité de secrétaire à 50 % (quatre heures par jour) était adaptée, compte tenu des limitations dues à l'état de santé. De l'avis de ce spécialiste, on peut encore exiger de l'intéressée qu'elle travaille en cette qualité, mais à un taux de 50 % en raison de la capacité de concentration limitée et de la fatigabilité oculaire lors du travail sur ordinateur. Sur ce point, le docteur N.________ ne s'écarte pas des conclusions du docteur D.________. En effet, dans l'avis médical SMR du 9 avril 2008, il considère que l'assurée ne peut travailler qu'à 50 % dans son activité habituelle d'employée de secrétariat pour le compte de Y.________. Le fait que l'office AI, dans sa réponse du 9 février 2009 en procédure cantonale, a admis que l'activité habituelle d'employée de bureau était la plus adaptée aux atteintes à la santé (orthopédique et oculaire), ne remet toutefois pas en cause les conclusions du docteur N.________ selon lesquelles la capacité de travail de la recourante est de 80 % dans une activité pouvant être exercée sans usage prolongé de l'ordinateur et sans sollicitation intensive de la vue. Ainsi que l'ont relevé les premiers juges, ces possibilités d'emploi sont réalistes et correspondent à l'offre de la main-d'oeuvre sur le marché du travail, qu'il s'agisse d'une activité de secrétaire ou d'une activité légère dans l'industrie. On ne se trouve pas non plus dans la situation de l'arrêt 8C_216/2009 du 28 octobre 2009, publié aux ATF 135 V 465 . Que ce soit le docteur C.________ dans son rapport du 27 juillet 2004 ou le docteur L.________ dans son certificat du 14 janvier 2009, ces médecins n'ont fait état d'aucun élément objectivement vérifiable qui aurait été ignoré par les médecins du SMR et qui soit suffisamment pertinent pour remettre en cause leurs conclusions (supra, consid. 2.3). Le recours est mal fondé de ce chef.</w:t>
      </w:r>
    </w:p>
    <w:p>
      <w:r>
        <w:rPr>
          <w:b/>
        </w:rPr>
        <w:t>E. 3.5</w:t>
      </w:r>
    </w:p>
    <w:p>
      <w:r>
        <w:t>Les premiers juges, se fondant sur l'enquête suisse sur la structure des salaires (ESS), ont calculé le revenu d'invalide sur la base du salaire auquel pouvaient prétendre, en 2004, les femmes effectuant des activités simples et répétitives (tableau TA1, niveau de qualification 4), et compte tenu d'une capacité résiduelle de travail de 80 %. Il résultait de la comparaison des revenus une invalidité de 16,95 %, taux qui ne confère aucun droit à une rente d'invalidité. La recourante ne conteste ni les paramètres dans l'ESS sur lesquels se sont fondés les premiers juges, ni les chiffres qu'ils ont retenus. On relèvera que même si l'on calculait le revenu d'invalide en effectuant un abattement supplémentaire de 10 % (compte tenu du taux d'occupation et de l'activité légère seule possible), l'invalidité pourrait être de 25,25 %, taux qui ne donne pas droit à une rente. Les conclusions tirées de la comparaison des revenus, à savoir que la recourante n'a pas droit à une rente d'invalidité, sont conformes au droit fédéral ( art. 28 al. 2 LAI , teneur en vigueur depuis le 1er janvier 2008). Le recours est dès lors mal fondé.</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