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209/2020 vom 24. August 2020</w:t>
      </w:r>
    </w:p>
    <w:p>
      <w:r>
        <w:t>Bundesgericht, 2020-08-24, DE</w:t>
      </w:r>
    </w:p>
    <w:p>
      <w:r>
        <w:rPr>
          <w:b/>
        </w:rPr>
        <w:t xml:space="preserve">Quelle: </w:t>
      </w:r>
      <w:r>
        <w:t>https://mcp.opencaselaw.ch/entscheid/bger_9C_209_2020</w:t>
      </w:r>
    </w:p>
    <w:p>
      <w:r>
        <w:t>FR: TF 9C 209/2020 du 24 août 2020</w:t>
      </w:r>
    </w:p>
    <w:p>
      <w:r>
        <w:t>IT: TF 9C 209/2020 del 24 agosto 2020</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Strittig und damit zu prüfen ist, ob die Vorinstanz das Hochschulpraktikum bei der Schweizerischen Vertretung in D.________ zu Recht als faktisch geboten für das angestrebte Masterstudium an der Universität E.________ in F.________ qualifiziert und damit (unter Bejahung der weiteren Voraussetzungen) auf eine Ausbildung im Sinne von Art. 49bis AHVV geschlossen hat.</w:t>
      </w:r>
    </w:p>
    <w:p>
      <w:r>
        <w:rPr>
          <w:b/>
        </w:rPr>
        <w:t>E. 3</w:t>
      </w:r>
    </w:p>
    <w:p>
      <w:r>
        <w:t>Auf die vom kantonalen Gericht korrekt dargelegten rechtlichen Grundlagen wird verwiesen. Zu ergänzen bleibt, dass nach bundesgerichtlicher Rechtsprechung (unter anderem) dann keine Ausbildung gemäss Art. 49bis AHVV vorliegt, wenn ein Kind eine praktische Tätigkeit ausübt, um seine Anstellungschancen bei schwieriger Beschäftigungssituation zu verbessern (vgl. im Zusammenhang mit dem Anspruch auf Ausbildungszulagen BGE 140 V 314 E. 3.2 in fine S. 317 mit Hinweisen).</w:t>
      </w:r>
    </w:p>
    <w:p>
      <w:r>
        <w:rPr>
          <w:b/>
        </w:rPr>
        <w:t>E. 4.1</w:t>
      </w:r>
    </w:p>
    <w:p>
      <w:r>
        <w:t>Die Vorinstanz hat argumentiert, vorliegend sei eine Zulassung zum Studium an der E.________ grundsätzlich auch ohne Berufserfahrung denkbar, sofern im Bereich der übrigen Zulassungskriterien hervorragende Leistungen vorgewiesen werden könnten. Den Zulassungsbedingungen der E.________ lasse sich entnehmen, dass der geforderte minimale Notendurchschnitt für die Zulassung von Studierenden aus der Schweiz 4.7 betrage, wobei es zu berücksichtigen gelte, dass auch ein ausreichender Notendurchschnitt keine Zulassung garantiere. Zusätzlich dazu würden weitere Kriterien wie die berufliche Erfahrung, die Karrierepläne oder der persönliche Hintergrund im Zulassungsprozess berücksichtigt. Die Bewerbungen würden darüber hinaus auch untereinander verglichen. Die Anforderungen an die Zulassung von künftigen Studierenden seien demzufolge sehr hoch. Den Akten sei zu entnehmen, dass die Tochter des Beschwerdegegners zwar über einen ausreichenden Notendurchschnitt von 4.9 verfüge, dieser jedoch in einer Gesamtbeurteilung unter Berücksichtigung der bereits genannten anderen Kriterien sowie in Bezug auf die übrigen Bewerbenden alleine mit überwiegender Wahrscheinlichkeit nicht ausreichen werde, um zugelassen zu werden. Das Vorweisen von Praktikumserfahrung im entsprechenden Fachbereich sei demnach vorliegend unerlässlich. Damit erweise sich das Praktikum bei der Schweizerischen Vertretung in D.________ als faktisch geboten, um für das angestrebte Masterstudium an der E.________ überhaupt zugelassen werden zu können (vorinstanzliche Erwägung 6.4 S. 6).</w:t>
      </w:r>
    </w:p>
    <w:p>
      <w:r>
        <w:rPr>
          <w:b/>
        </w:rPr>
        <w:t>E. 4.2</w:t>
      </w:r>
    </w:p>
    <w:p>
      <w:r>
        <w:t>Damit hat das kantonale Gericht seinen Schluss betreffend die faktische Gebotenheit des Hochschulpraktikums mit den besseren Zulassungschancen zum Masterstudiengang an der E.________ begründet. Dies hält jedoch mit Blick auf die dargelegte bundesgerichtliche Rechtsprechung (E. 3), welche auf den Schritt hier nicht direkt in den Arbeitsmarkt, sondern auf eine weitere Etappe beruflicher Ausbildung gerichtet, sinngemäss anzuwenden ist, nicht stand. Das Praktikum kann daher nicht als Ausbildung im Sinne von Art. 49bis AHVV qualifiziert werden. Daran vermögen auch die Vorbringen des Beschwerdegegners, abgesehen von ihrem Charakter als unzulässige Noven ( Art. 99 Abs. 1 BGG ), nichts zu ändern. So ist den eingereichten Unterlagen vielmehr zu entnehmen, dass die Berufserfahrung auch an den anderen Bildungsanstalten - gleich wie bei der E.________ ( vgl. die Eingaben im vorinstanzlichen Verfahren) - eines der Kriterien darstellt, das beim Zulassungsentscheid Beachtung findet. Die Absolvierung eines Praktikums kann damit - wie die Beschwerdeführerin zu Recht vorbringt - für die Zulassung zu den Masterstudiengängen von Nutzen sein (Entsprechendes ist auch der Bestätigung der Universität G.________ zu entnehmen). Faktisch notwendig ist ein Praktikum deswegen jedoch nicht. Die Beschwerde ist begründet.</w:t>
      </w:r>
    </w:p>
    <w:p>
      <w:r>
        <w:rPr>
          <w:b/>
        </w:rPr>
        <w:t>E. 5</w:t>
      </w:r>
    </w:p>
    <w:p>
      <w:r>
        <w:t>Die Umstände rechtfertigen es,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