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9C_209/2012 vom 26. Juni 2012</w:t>
      </w:r>
    </w:p>
    <w:p>
      <w:r>
        <w:t>Bundesgericht, 2012-06-26, FR</w:t>
      </w:r>
    </w:p>
    <w:p>
      <w:r>
        <w:rPr>
          <w:b/>
        </w:rPr>
        <w:t xml:space="preserve">Quelle: </w:t>
      </w:r>
      <w:r>
        <w:t>https://mcp.opencaselaw.ch/entscheid/bger_9C_209_2012</w:t>
      </w:r>
    </w:p>
    <w:p>
      <w:r>
        <w:t>FR: TF 9C_209/2012 du 26 juin 2012</w:t>
      </w:r>
    </w:p>
    <w:p>
      <w:r>
        <w:t>IT: TF 9C_209/2012 del 26 giugno 2012</w:t>
      </w:r>
    </w:p>
    <w:p>
      <w:pPr>
        <w:pStyle w:val="Heading2"/>
      </w:pPr>
      <w:r>
        <w:t>Erwägungen</w:t>
      </w:r>
    </w:p>
    <w:p>
      <w:r>
        <w:rPr>
          <w:b/>
        </w:rPr>
        <w:t>E. 1</w:t>
      </w:r>
    </w:p>
    <w:p>
      <w:r>
        <w:t>Le point de départ du présent litige est constitué par la décision sur opposition du 4 juillet 2011 rendue par le recourant, par laquelle il a déclaré irrecevable l'opposition formée par l'intimée. Le litige soumis à la juridiction cantonale portant donc exclusivement sur une décision de non-entrée en matière, seule devait être examinée la question de savoir si c'est à juste titre que le recourant avait rejeté la demande en restitution du délai d'opposition et déclaré irrecevable l'opposition formée par l'intimée ( ATF 121 V 157 consid. 2b p. 159; voir également arrêt U 185/95 du septembre 1996 consid. 1a et les références, in SVR 1997 UV n° 66 p. 225). Aussi, comme le relève le recourant dans son mémoire de recours, la juridiction cantonale ne pouvait pas se prononcer sur le fond du litige, soit sur le point de savoir si le droit aux prestations complémentaires devait être supprimé. En tant que le jugement attaqué annule la décision du 28 février 2011 portant sur la suppression des prestations pour le futur, il doit être annulé.</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Est litigieux en l'espèce le point de savoir si l'intimée peut être mise au bénéfice d'une restitution du délai pour former opposition.</w:t>
      </w:r>
    </w:p>
    <w:p>
      <w:r>
        <w:rPr>
          <w:b/>
        </w:rPr>
        <w:t>E. 3.1</w:t>
      </w:r>
    </w:p>
    <w:p>
      <w:r>
        <w:t>Selon l'article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 ATF 108 V 226 consid. 4 p. 228: voir également arrêt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 ATF 119 II 86 consid. 2 p. 87; 112 V 255 ; arrêt 8C_767/2008 du 12 janvier 2009, consid. 5.3.1).</w:t>
      </w:r>
    </w:p>
    <w:p>
      <w:r>
        <w:rPr>
          <w:b/>
        </w:rPr>
        <w:t>E. 3.2</w:t>
      </w:r>
    </w:p>
    <w:p>
      <w:r>
        <w:t>Est capable de discernement au sens du droit civil celui qui a la faculté d'agir raisonnablement ( art. 16 CC ).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 ATF 134 II 235 consid. 4.3.2 p. 239; 118 Ia 236 consid. 2b in fine p. 238).</w:t>
      </w:r>
    </w:p>
    <w:p>
      <w:r>
        <w:rPr>
          <w:b/>
        </w:rPr>
        <w:t>E. 3.3</w:t>
      </w:r>
    </w:p>
    <w:p>
      <w:r>
        <w:t>Une personne n'est privée de discernement que si sa faculté d'agir raisonnablement est altérée, en partie du moins, par l'une des causes énumérées à l' art. 16 CC , dont la maladie mentale, la faiblesse d'esprit ou une autre altération, semblable, de la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 ATF 117 II 231 consid. 2a in fine p. 233/234; 85 II 452 consid. 3a p. 460; 62 II 263 p. 264).</w:t>
      </w:r>
    </w:p>
    <w:p>
      <w:r>
        <w:rPr>
          <w:b/>
        </w:rPr>
        <w:t>E. 3.4</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 ATF 134 II 235 consid. 4.3.3 p. 240 et les références).</w:t>
      </w:r>
    </w:p>
    <w:p>
      <w:r>
        <w:rPr>
          <w:b/>
        </w:rPr>
        <w:t>E. 3.5</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 ATF 124 III 5 consid. 4; 117 II 231 consid. 2c).</w:t>
      </w:r>
    </w:p>
    <w:p>
      <w:r>
        <w:rPr>
          <w:b/>
        </w:rPr>
        <w:t>E. 4.1</w:t>
      </w:r>
    </w:p>
    <w:p>
      <w:r>
        <w:t>Se fondant sur les observations rapportées par la doctoresse N.________ ainsi que sur les témoignages de l'aide familiale et de l'infirmier, la juridiction cantonale a considéré qu'en raison d'une dégradation de son état de santé psychique survenue durant la période courant du mois de décembre 2010 au mois d'avril 2011, l'intimée avait été empêchée, sans faute de sa part, de s'opposer aux décisions du 28 février 2011 et de charger une tierce personne d'agir en son nom, n'étant plus en mesure, faute de capacité volitive, de s'exprimer par elle-même et d'entreprendre les démarches nécessaires en vue de la résolution de ses problèmes.</w:t>
      </w:r>
    </w:p>
    <w:p>
      <w:r>
        <w:rPr>
          <w:b/>
        </w:rPr>
        <w:t>E. 4.2</w:t>
      </w:r>
    </w:p>
    <w:p>
      <w:r>
        <w:t>Le recourant reproche en substance à la juridiction cantonale d'avoir procédé à une constatation manifestement inexacte des faits pertinents consécutive à une mauvaise appréciation des preuves. Il estime que rien ne permettait de conclure que l'état de santé de l'intimée était d'une sévérité telle à réception des décisions du 28 février 2011 - une éventuelle incapacité de discernement n'ayant pas pu être établie - qu'elle était dans l'impossibilité de défendre elle-même ses intérêts ou de mandater un tiers à cette fin. Ce faisant, le recourant se borne à ne proposer que sa propre appréciation des faits, sans tenter d'établir que celle effectuée par la juridiction cantonale serait arbitraire. On rappellera qu'il n'appartient pas au Tribunal fédéral de rechercher les raisons éventuelles pour lesquelles le jugement attaqué devrait être annulé, mais à la partie recourante d'établir en quoi l'appréciation opérée par l'autorité cantonale serait manifestement inexacte ou incomplète (cf. supra consid. 2). Or, le recourant ne prend à aucun moment position sur les motifs du jugement attaqué et ne discute d'aucune façon la question de l'absence de capacité volitive de l'intimée. Dans ces conditions, il n'y a pas lieu de s'écarter de l'appréciation des faits effectuée par les premiers juges.</w:t>
      </w:r>
    </w:p>
    <w:p>
      <w:r>
        <w:rPr>
          <w:b/>
        </w:rPr>
        <w:t>E. 4.3</w:t>
      </w:r>
    </w:p>
    <w:p>
      <w:r>
        <w:t>Au surplus, on ajoutera que le recourant focalise son argumentation sur la capacité générale de discernement de l'intimée, estimant, à la lumière des actes courants de la vie qu'elle parvenait à accomplir, qu'elle était à même, nonobstant certaines difficultés, de gérer ses affaires administratives, ou du moins de mandater un tiers pour ce faire. Ce faisant, le recourant méconnaît la jurisprudence selon laquelle la capacité de discernement ne doit pas être appréciée dans l'abstrait, mais concrètement, par rapport à un acte déterminé, en fonction de sa nature et de son importance. En l'occurrence, il s'agissait de déterminer si l'intimée était en mesure de réagir de manière conforme à ce que l'on était en droit d'attendre d'elle. Or, la juridiction cantonale a considéré que les décisions du 28 février 2011 étaient venues interférer si brutalement avec le fonctionnement extrêmement ritualisé de l'intimée, mis notamment en évidence par les témoignages de l'aide familiale et de l'infirmier, qu'elle n'avait plus été en mesure d'agir. Faute de dire en quoi cette appréciation devrait être qualifiée d'arbitraire, les considérations du recourant ne sont pas de nature à remettre en cause le jugement entrepris.</w:t>
      </w:r>
    </w:p>
    <w:p>
      <w:r>
        <w:rPr>
          <w:b/>
        </w:rPr>
        <w:t>E. 5.1</w:t>
      </w:r>
    </w:p>
    <w:p>
      <w:r>
        <w:t>Sur le vu de ce qui précède, le jugement entrepris ne viole pas le droit fédéral et doit être confirmé en tant qu'il a pour objet la question de la restitution du délai pour former opposition. Ce nonobstant, le recours doit être très partiellement admis et le jugement attaqué annulé dans la mesure où il annule la décision du 28 février 2011 portant sur la suppression des prestations pour le futur (cf. supra consid. 1).</w:t>
      </w:r>
    </w:p>
    <w:p>
      <w:r>
        <w:rPr>
          <w:b/>
        </w:rPr>
        <w:t>E. 5.2</w:t>
      </w:r>
    </w:p>
    <w:p>
      <w:r>
        <w:t>Vu l'issue du litige, les frais de justice seront supportés pour quatre cinquièmes par le recourant et pour un cinquième par l'intimée.</w:t>
      </w:r>
    </w:p>
    <w:p>
      <w:r>
        <w:rPr>
          <w:b/>
        </w:rPr>
        <w:t>E. 5.3</w:t>
      </w:r>
    </w:p>
    <w:p>
      <w:r>
        <w:t>Le présent arrêt rend en outre sans objet la requête d'effet suspensif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