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208/2024 vom 29. April 2024</w:t>
      </w:r>
    </w:p>
    <w:p>
      <w:r>
        <w:t>Bundesgericht, 2024-04-29, DE</w:t>
      </w:r>
    </w:p>
    <w:p>
      <w:r>
        <w:rPr>
          <w:b/>
        </w:rPr>
        <w:t xml:space="preserve">Quelle: </w:t>
      </w:r>
      <w:r>
        <w:t>https://mcp.opencaselaw.ch/entscheid/bger_9C_208_2024</w:t>
      </w:r>
    </w:p>
    <w:p>
      <w:r>
        <w:t>FR: TF 9C 208/2024 du 29 avril 2024</w:t>
      </w:r>
    </w:p>
    <w:p>
      <w:r>
        <w:t>IT: TF 9C 208/2024 del 29 aprile 2024</w:t>
      </w:r>
    </w:p>
    <w:p>
      <w:pPr>
        <w:pStyle w:val="Heading2"/>
      </w:pPr>
      <w:r>
        <w:t>Regeste</w:t>
      </w:r>
    </w:p>
    <w:p>
      <w:r>
        <w:t>Staats- und Gemeindesteuern des Kantons Bern und direkte Bundessteuer, Steuerperioden 2014 und 2015 | Öffentliche Finanzen &amp; Abgaberecht</w:t>
      </w:r>
    </w:p>
    <w:p>
      <w:pPr>
        <w:pStyle w:val="Heading2"/>
      </w:pPr>
      <w:r>
        <w:t>Volltext</w:t>
      </w:r>
    </w:p>
    <w:p>
      <w:r>
        <w:t>Bundesgericht II. öffentlich-rechtliche Abteilung 29.04.2024 9C 208/2024 (9C_208/2024) Tribunal fédéral IIe Cour de droit public 29.04.2024 9C 208/2024 (9C_208/2024) Tribunale federale II Corte di diritto pubblico 29.04.2024 9C 208/2024 (9C_208/2024)</w:t>
      </w:r>
    </w:p>
    <w:p>
      <w:r>
        <w:t>Staats- und Gemeindesteuern des Kantons Bern und direkte Bundessteuer, Steuerperioden 2014 und 2015 | Öffentliche Finanzen &amp; Abgaberecht</w:t>
      </w:r>
    </w:p>
    <w:p>
      <w:r>
        <w:t>Bundesgericht Tribunal fédéral Tribunale federale Tribunal federal 9C_208/2024 Urteil vom 29. April 2024 III. öffentlich-rechtliche Abteilung Besetzung Bundesrichter Parrino, Präsident, Gerichtsschreiber Nabold. Verfahrensbeteiligte A.A.________ und B.A.________ Beschwerdeführer, gegen Steuerverwaltung des Kantons Bern, Brünnenstrasse 66, 3018 Bern, Beschwerdegegnerin. Gegenstand Staats- und Gemeindesteuern des Kantons Bern und direkte Bundessteuer, Steuerperioden 2014 und 2015, Beschwerde gegen das Urteil des Verwaltungsgerichts des Kantons Bern vom 12. März 2024 (100.2023.326/327). Nach Einsicht in die Eingaben der B.A.________ und des A.A.________ vom 12. und vom 21. April 2024 gegen das Urteil des Verwaltungsgerichts des Kantons Bern vom 12. März 2024,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134 V 53 E. 3.3), dass das Verwaltungsgericht im angefochtenen Urteil eine Beschwerde gegen eine Verfügung der Steuerrekuskommission abwies, mit welcher diese das Gesuch der Beschwerdeführer um unentgeltliche Rechtspflege mangels Bedürftigkeit abwies und ihnen Frist zur Bezahlung von Kostenvorschüssen ansetzte, dass das Verwaltungsgericht hierbei insbesondere unter Hinweis auf BGE 144 III 531 E. 4.2 erwogen hat, dass eine bei Eintritt des Versicherungsfalls ausbezahlte und zum Zeitpunkt der Gesuchseinreichung noch vorhandene Kapitalleistung der zweiten Säule für die Beurteilung der Mittellosigkeit der gesuchsstellenden Person als Teil des Vermögens zu berücksichtigen ist, dass die Eingaben der Beschwerdeführer keine Auseinandersetzung mit dieser entscheiderheblichen Erwägungen beinhalten, dass daran auch ihr pauschale Verweis auf BGE 113 III 10 nichts ändert, zumal doch darin lediglich festgelegt wird, dass eine solche Kapitalleistung nur beschänkt pfändbar ist, was aber gemäss dem von der Vorinstanz zitierten Entscheid gerade nicht zur Folge hat, dass sie bei der Berechnung des Vermögens auszuklammern wäre (vgl. BGE 144 III 531 E. 4.2.2), dass die Beschwerdeführer damit nicht aufzeigen, inwiefern das vorinstanzliche Urteil Bundesrecht verletzten sollte, dass die Beschwerde den inhaltlichen Mindestanforderungen an ein Rechtsmittel somit offensichtlich nicht genügt, dass deshalb im vereinfachten Verfahren nach Art. 108 Abs. 1 lit. b BGG auf die Beschwerde nicht einzutreten ist, dass in Anwendung von Art. 66 Abs. 1 Satz 2 BGG umständehalber auf die Erhebung von Gerichtskosten verzichtet wird, dass soweit die Eingabe vom 12. April 2024 auch als sinngemässes Gesuch um Befreiung von den Gerichtskosten zu interpretieren ist, dieses Gesuch damit gegenstandslos geworden ist, erkennt der Präsident: 1. Auf die Beschwerde wird nicht eingetreten. 2. Es werden keine Gerichtskosten erhoben. 3. Dieses Urteil wird den Parteien, dem Verwaltungsgericht des Kantons Bern, Verwaltungsrechtliche Abteilung, und der Eidgenössischen Steuerverwaltung schriftlich mitgeteilt. Luzern, 29. April 2024 Im Namen der III. öffentlich-rechtlichen Abteilung des Schweizerischen Bundesgerichts Der Präsident: Parrino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