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9C_208/2021 vom 30. Juli 2021</w:t>
      </w:r>
    </w:p>
    <w:p>
      <w:r>
        <w:t>Bundesgericht, 2021-07-30, DE</w:t>
      </w:r>
    </w:p>
    <w:p>
      <w:r>
        <w:rPr>
          <w:b/>
        </w:rPr>
        <w:t xml:space="preserve">Quelle: </w:t>
      </w:r>
      <w:r>
        <w:t>https://mcp.opencaselaw.ch/entscheid/bger_9C_208_2021</w:t>
      </w:r>
    </w:p>
    <w:p>
      <w:r>
        <w:t>FR: TF 9C_208/2021 du 30 juillet 2021</w:t>
      </w:r>
    </w:p>
    <w:p>
      <w:r>
        <w:t>IT: TF 9C_208/2021 del 30 luglio 2021</w:t>
      </w:r>
    </w:p>
    <w:p>
      <w:pPr>
        <w:pStyle w:val="Heading2"/>
      </w:pPr>
      <w:r>
        <w:t>Erwägungen</w:t>
      </w:r>
    </w:p>
    <w:p>
      <w:r>
        <w:rPr>
          <w:b/>
        </w:rPr>
        <w:t>E. 1</w:t>
      </w:r>
    </w:p>
    <w:p>
      <w:r>
        <w:t>Mit der Beschwerde in öffentlich-rechtlichen Angelegenheiten kann eine Rechtsverletzung nach Art. 95 f. BGG gerügt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Dennoch prüft das Bundesgericht, unter Berücksichtigung der allgemeinen Pflicht zur Begründung der Beschwerde ( Art. 42 Abs. 1 und 2 BGG ), grundsätzlich nur die geltend gemachten Rügen, sofern die rechtlichen Mängel nicht geradezu offensichtlich sind ( BGE 144 V 388 E. 2; 141 V 234 E. 1 mit Hinweisen).</w:t>
      </w:r>
    </w:p>
    <w:p>
      <w:r>
        <w:rPr>
          <w:b/>
        </w:rPr>
        <w:t>E. 2</w:t>
      </w:r>
    </w:p>
    <w:p>
      <w:r>
        <w:t>Nach Art. 25 Abs. 1 und 2 ATSG (in der hier anwendbaren, bis Ende 2020 geltenden Fassung)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(die längere absolute Verwirkungsfrist im Zusammenhang mit einer strafbaren Handlung spielt hier keine Rolle).</w:t>
      </w:r>
    </w:p>
    <w:p>
      <w:r>
        <w:t>Wie bereits im vorinstanzlichen Verfahren steht (aufgrund von Art. 24a Abs. 2 AHVG ) fest und ist unbestritten, dass die Beschwerdeführerin nur bis Ende November 2001 resp. bis zur Vollendung des 18. Lebensjahres des Sohnes Anspruch auf eine Witwenrente hatte. Streitig war und ist einzig die Rückforderung mit Blick auf die Frage, ob die (relative) einjährige Frist mit Erlass der Verfügung vom 7. Mai 2019 gewahrt wurde, was die Vorinstanz bejaht hat.</w:t>
      </w:r>
    </w:p>
    <w:p>
      <w:r>
        <w:rPr>
          <w:b/>
        </w:rPr>
        <w:t>E. 3.1</w:t>
      </w:r>
    </w:p>
    <w:p>
      <w:r>
        <w:t>Beruht die unrechtmässige Leistungsausrichtung - wie hier - auf einem Fehler der Verwaltung, wird die einjährige relative Verwirkungsfrist gemäss Art. 25 Abs. 2 erster Satz ATSG nicht durch das erstmalige unrichtige Handeln der Amtsstelle ausgelöst. Vielmehr bedarf es eines "zweiten Anlasses": Es ist auf jenen Tag abzustellen, an dem das Durchführungsorgan später - beispielsweise anlässlich einer Rechnungskontrolle oder aufgrund eines zusätzlichen Indizes - unter Anwendung der ihm zumutbaren Aufmerksamkeit seinen Fehler hätte erkennen müssen ( BGE 146 V 217 E. 2.2 mit Hinweisen; Urteil 8C_6/2021 vom 14. April 2021 E. 4.2).</w:t>
      </w:r>
    </w:p>
    <w:p>
      <w:r>
        <w:t>Entscheidend für die Frage, in welchem Zeitpunkt die Verwaltung Kenntnis über Bestand und Umfang des Rückforderungsanspruchs haben muss, sind stets die jeweiligen Umstände im Einzelfall (SVR 2015 IV Nr. 5 S. 10, 9C_195/2014 E. 4.2; SVR 2014 IV Nr. 15 S. 60, 8C_631/2013 E. 5.2.2.4; Urteil 9C_569/2019 vom 8. November 2019 E. 3.2). Ob resp. inwieweit die Rückforderung verwirkt ist, ist eine Rechtsfrage (Urteil 9C_148/2020 vom 2. Juli 2020 E. 4.6.2).</w:t>
      </w:r>
    </w:p>
    <w:p>
      <w:r>
        <w:rPr>
          <w:b/>
        </w:rPr>
        <w:t>E. 3.2</w:t>
      </w:r>
    </w:p>
    <w:p>
      <w:r>
        <w:t>Die Vorinstanz hat erwogen, die Ausgleichskasse habe der Beschwerdeführerin am 19. Januar 1999 irrtümlich eine ordentliche (und unbefristete) anstatt einer befristeten Witwenrente zugesprochen. Mit diesem ursprünglichen Irrtum sei die relative Verwirkungsfrist aber noch nicht ausgelöst worden. Die Schreiben zur Überprüfung der Waisenrente seien systembedingt veranlasst und automatisch generiert worden. Die Erkundigung der Ausgleichskasse vom November 2001 nach dem Ausbildungsstand des Sohnes, die entsprechenden Informationen und das Schreiben der Ausgleichskasse vom 4. Juli 2003 hätten allesamt die Waisenrente betroffen und keinen Anlass gegeben, die Witwenrente zu überprüfen. Erst anlässlich des im Februar 2019 eingereichten Gesuchs um Vorausberechnung der Altersrente habe die Verwaltung Kenntnis von den irrtümlichen Rentenzahlungen erlangt. Damit sei die einjährige Verwirkungsfrist in Gang gesetzt und mit Erlass der Verfügung vom 7. Mai 2019 gewahrt worden.</w:t>
      </w:r>
    </w:p>
    <w:p>
      <w:r>
        <w:rPr>
          <w:b/>
        </w:rPr>
        <w:t>E. 3.3</w:t>
      </w:r>
    </w:p>
    <w:p>
      <w:r>
        <w:t>Die Beschwerdeführerin macht im Wesentlichen geltend, die Ausgleichskasse habe sowohl im November 2001 im Hinblick auf die Vollendung des 18. Altersjahres des Sohnes als auch im Juli 2003 aufgrund der Beendigung seiner Ausbildung ein Revisionsverfahren eröffnet. In diesem Rahmen hätte die Verwaltung unter Anwendung der zumutbaren Aufmerksamkeit merken müssen, dass sie die Witwenrente per Dezember 2001 hätte aufheben müssen. Die Terminierung ihres Anspruchs ergebe sich klar und deutlich aus dem "ACOR-Blatt" vom 8. Januar 1999, das für sie und ihren Sohn gemeinsam erstellt worden sei. Die beiden Hinterlassenenrenten seien in einem gemeinsamen Dossier geführt worden. Zumindest die Information des Arbeitgebers habe manuell von einem Sachbearbeiter bearbeitet werden müssen. Selbst wenn die Prozesse computergesteuert abliefen, sei es der Ausgleichskasse anzurechnen, dass sie keinen Überprüfungsmechanismus eingebaut habe. Als der Eintrag im "ACOR-Blatt" 2001 resp. 2003 nicht bemerkt worden sei, sei der Fristenlauf für die Rückforderung ausgelöst worden.</w:t>
      </w:r>
    </w:p>
    <w:p>
      <w:r>
        <w:rPr>
          <w:b/>
        </w:rPr>
        <w:t>E. 3.4.1</w:t>
      </w:r>
    </w:p>
    <w:p>
      <w:r>
        <w:t>Die vorinstanzliche Annahme (unter Hinweis auf Rz. 4326 ff. der Wegleitung des BSV über die Renten in der Eidgenössischen Alters-, Hinterlassenen- und Invalidenversicherung [RWL]; vgl. auch Rz. 3437 RWL), dass das erstmalige unrichtige Handeln in der Zusprache einer unbefristeten Witwenrente bestand, ist unbestritten und gibt keinen Anlass zu Weiterungen.</w:t>
      </w:r>
    </w:p>
    <w:p>
      <w:r>
        <w:rPr>
          <w:b/>
        </w:rPr>
        <w:t>E. 3.4.2</w:t>
      </w:r>
    </w:p>
    <w:p>
      <w:r>
        <w:t>Der Beschwerdeführerin ist beizupflichten, dass sich dem "ACOR-Blatt" vom 8. Januar 1999 sämtliche hier interessierenden Informationen zu den Hinterlassenenrenten für die Beschwerdeführerin und ihren Sohn entnehmen lassen; es enthält insbesondere auch den ausdrücklichen Hinweis auf die Begrenzung der Witwenrente bis zum 18. Altersjahr des jüngsten Kindes gemäss Art. 24a Abs. 2 AHVG . Ob deshalb die Ausgleichskasse gehalten gewesen wäre, anlässlich der Überprüfung resp. Aufhebung der Waisenrente auch die Witwenrente zu überprüfen, kann offenbleiben.</w:t>
      </w:r>
    </w:p>
    <w:p>
      <w:r>
        <w:t>Die Vorinstanz hat nicht berücksichtigt (vgl. zum Untersuchungsgrundsatz Art. 61 lit. c ATSG ), dass sich Folgendes aus den Akten ergibt (vgl. vorangehende E. 1) : Im Juli 2012 bestellte die Versicherte per E-Mail einen Auszug aus ihrem individuellen Konto (IK). Der entsprechende Ausdruck trägt den visuell hervorgehobenen Vermerk "8-ung Witw.Rente von AK 1". Es erfolgte ein IK-Zusammenruf und ein Einkommenssplitting aufgrund der Scheidung, was auch im IK-Auszug vom 17. Juli 2012 ersichtlich ist. Auf dem entsprechenden Begleitschreiben der Ausgleichskasse vom 17. Juli 2012 an die Versicherte ist - anders als etwa bei Steuerbescheinigungen - der Name der zuständigen Sachbearbeiterin vermerkt. Unter den gegebenen Umständen war es der Ausgleichskasse ohne Weiteres zumutbar, anlässlich des Versands des IK-Auszugs den Witwenrentenanspruch zumindest im Grundsatz summarisch zu überprüfen. Somit hätte sie unter Anwendung der gebotenen Sorgfalt ihren Fehler spätestens im Juli 2012 erkennen können und müssen. Folglich war die Rückforderung bei Erlass der Verfügung vom 7. Mai 2019 bereits verwirkt.</w:t>
      </w:r>
    </w:p>
    <w:p>
      <w:r>
        <w:rPr>
          <w:b/>
        </w:rPr>
        <w:t>E. 3.5</w:t>
      </w:r>
    </w:p>
    <w:p>
      <w:r>
        <w:t>Die Beschwerde ist im Ergebnis begründet. Mit der Aufhebung des angefochtenen Urteils und des diesem zugrunde liegenden Einspracheentscheids hat es sein Bewenden.</w:t>
      </w:r>
    </w:p>
    <w:p>
      <w:r>
        <w:rPr>
          <w:b/>
        </w:rPr>
        <w:t>E. 4</w:t>
      </w:r>
    </w:p>
    <w:p>
      <w:r>
        <w:t>Dem Prozessausgang entsprechend hat die Beschwerdegegnerin die Gerichtskosten zu tragen ( Art. 66 Abs. 1 BGG ) und de r Beschwer deführerineine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