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9C_208/2010 vom 20. Mai 2010</w:t>
      </w:r>
    </w:p>
    <w:p>
      <w:r>
        <w:t>Bundesgericht, 2010-05-20, DE</w:t>
      </w:r>
    </w:p>
    <w:p>
      <w:r>
        <w:rPr>
          <w:b/>
        </w:rPr>
        <w:t xml:space="preserve">Quelle: </w:t>
      </w:r>
      <w:r>
        <w:t>https://mcp.opencaselaw.ch/entscheid/bger_9C_208_2010</w:t>
      </w:r>
    </w:p>
    <w:p>
      <w:r>
        <w:t>FR: TF 9C_208/2010 du 20 mai 2010</w:t>
      </w:r>
    </w:p>
    <w:p>
      <w:r>
        <w:t>IT: TF 9C_208/2010 del 20 maggio 2010</w:t>
      </w:r>
    </w:p>
    <w:p>
      <w:pPr>
        <w:pStyle w:val="Heading2"/>
      </w:pPr>
      <w:r>
        <w:t>Erwägungen</w:t>
      </w:r>
    </w:p>
    <w:p>
      <w:r>
        <w:rPr>
          <w:b/>
        </w:rPr>
        <w:t>E. 1.1</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des Bundesgesetzes über den Versicherungsvertrag (VVG; SR 221.229.1; vgl. BGE 119 V 283 E. 4 und 5 S. 286 ff.; Urteil 9C_194/2008 vom 6. Oktober 2008). Mangels entsprechender reglementarischer Bestimmungen der Stiftung X.________ sind im vorliegenden Fall die Art. 4 ff. VVG anwendbar.</w:t>
      </w:r>
    </w:p>
    <w:p>
      <w:r>
        <w:rPr>
          <w:b/>
        </w:rPr>
        <w:t>E. 1.2</w:t>
      </w:r>
    </w:p>
    <w:p>
      <w:r>
        <w:t>Während Art. 4 VVG die Anzeigepflicht des Antragstellers beim Vertragsabschluss statuiert, sind in Art. 6 VVG die Folgen der verletzten Anzeigepflicht festgehalten. Diese Bestimmung lautete in der bis 31. Dezember 2005 gültig gewesenen Fassung wie folgt: Wenn der Anzeigepflichtige beim Abschluss der Versicherung eine erhebliche Gefahrentatsache, die er kannte oder kennen musste, unrichtig mitgeteilt oder verschwiegen hat, so ist der Versicherer an den Vertrag nicht gebunden, wenn er binnen vier Wochen, nachdem er von der Verletzung der Anzeigepflicht Kenntnis erhalten hat, vom Vertrag zurücktritt. Art. 6 VVG (in der seit 1. Januar 2006 geltenden Fassung) bestimmt was folgt: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(Abs. 1 Satz 1), wobei das Kündigungsrecht vier Wochen, nachdem der Versicherer von der Verletzung der Anzeigepflicht Kenntnis erhalten hat, erlischt (Abs. 2).</w:t>
      </w:r>
    </w:p>
    <w:p>
      <w:r>
        <w:t>Ob mit Blick auf die seitens der Stiftung X.________ behauptete Anzeigepflichtverletzung des Beschwerdeführers in der Ergänzung zur Anmeldung vom 25. Mai 2005 die altrechtliche oder aufgrund des Vertragsbeginns am 1. Januar 2006 die revidierte, seit 1. Januar 2006 in Kraft stehende Fassung des Art. 6 VVG massgebend ist, kann offenbleiben, wie aus den nachstehenden Erwägungen erhellt.</w:t>
      </w:r>
    </w:p>
    <w:p>
      <w:r>
        <w:rPr>
          <w:b/>
        </w:rPr>
        <w:t>E. 2.1</w:t>
      </w:r>
    </w:p>
    <w:p>
      <w:r>
        <w:t>Die Vorinstanz gelangte zur Auffassung, der Beschwerdeführer habe die Anzeigepflicht verletzt, indem er die Frage nach der regelmässigen Einnahme von Medikamenten verneinte, obwohl er seit Jahren den Betablocker Inderal benötigt habe, um seiner Arbeit als Kieferorthopäde ungestört nachgehen zu können. Weiter habe er es versäumt, den seit Jahren vorliegenden Tremor offenzulegen. Die Beschwerdegegnerin sei daher befugt gewesen, vom Vorsorgevertrag zurückzutreten; dies habe sie denn auch innert Frist getan.</w:t>
      </w:r>
    </w:p>
    <w:p>
      <w:r>
        <w:rPr>
          <w:b/>
        </w:rPr>
        <w:t>E. 2.2</w:t>
      </w:r>
    </w:p>
    <w:p>
      <w:r>
        <w:t>Der Beschwerdeführer bestreitet das Vorliegen einer Anzeigepflichtverletzung. Überdies stellt er sich auf den Standpunkt, dass die Stiftung X.________ keine formgültige Rücktrittserklärung abgegeben habe. Das Schreiben vom 26. November 2007 genüge den Anforderungen gemäss Rechtsprechung nicht.</w:t>
      </w:r>
    </w:p>
    <w:p>
      <w:r>
        <w:rPr>
          <w:b/>
        </w:rPr>
        <w:t>E. 2.3</w:t>
      </w:r>
    </w:p>
    <w:p>
      <w:r>
        <w:t>Ob die Ansicht des Sozialversicherungsgerichts in Bezug auf das Bestehen einer Anzeigepflichtverletzung vor Bundesrecht standhält oder ob insoweit der Auffassung des Beschwerdeführers gefolgt werden müsste, braucht nicht abschliessend geprüft zu werden, da es jedenfalls an einer rechtsgültigen Rücktrittserklärung gebricht (E. 3 hienach).</w:t>
      </w:r>
    </w:p>
    <w:p>
      <w:r>
        <w:rPr>
          <w:b/>
        </w:rPr>
        <w:t>E. 3.1</w:t>
      </w:r>
    </w:p>
    <w:p>
      <w:r>
        <w:t>Gemäss der zu Art. 6 VVG (in der bis Ende 2005 gültig gewesenen Fassung) ergangenen Rechtsprechung muss eine Rücktrittserklärung, um beachtlich zu sein, ausführlich auf die verschwiegene oder ungenau mitgeteilte Gefahrstatsache hinweisen. Eine Rücktrittserklärung, welche die ungenau beantwortete Frage nicht erwähnt, ist zu wenig ausführlich ( BGE 129 III 713 E. 2.1 S. 714 mit Hinweisen). An dieser Praxis ist in Anwendung von Art. 6 VVG in der revidierten Fassung festzuhalten, zumal dessen den Rücktritt vom Vertrag betreffenden Absätze 1 und 2 im Vergleich zur alten Fassung lediglich redaktionelle Änderungen aufweisen. Es ist deshalb auch unerheblich, ob die alt- oder die neurechtliche Fassung des Art. 6 VVG zur Anwendung gelangt.</w:t>
      </w:r>
    </w:p>
    <w:p>
      <w:r>
        <w:rPr>
          <w:b/>
        </w:rPr>
        <w:t>E. 3.2</w:t>
      </w:r>
    </w:p>
    <w:p>
      <w:r>
        <w:t>Das Schreiben der Stiftung X.________ vom 26. November 2007 an den Beschwerdeführer kann nicht als rechtsgültiger Rücktritt vom Vorsorgevertrag betrachtet werden. Der Rücktritt wird lediglich bedingt erklärt. Zunächst bietet die Stiftung dem Beschwerdeführer die Fortdauer des Versicherungsschutzes an, sofern er mit den (von der AXA Winterthur am 23. November 2007) angemeldeten Einschränkungen, d.h. einem Vorbehalt für eine Erwerbsunfähigkeit wegen psychischer Erkrankungen und Folgen davon während fünf Jahren ab Versicherungsbeginn, einverstanden sei. Der Folgesatz lautet: Andernfalls wird gestützt auf Art. 6 VVG von der Versicherung zurückgetreten. Damit wird lediglich ein Rücktritt in Aussicht gestellt; hingegen ist die Beschwerdegegnerin aufgrund dieses Schreibens nicht vom Vorsorgevertrag zurückgetreten, und es ist sogar offen, ob sie dies künftig tun würde, da sie diesen Schritt vom Verhalten des Beschwerdeführers abhängig macht. Gerade bei derart weitreichenden Willenserklärungen muss Klarheit und Eindeutigkeit verlangt werden. Da es im vorliegenden Fall hieran fehlt, ist vom Fortbestehen des Vertrages auszugehen. Soweit die Vorinstanz zur gegenteiligen Annahme gelangt ist, hat sie Bundesrecht verletzt. Ob der Hinweis im Schreiben der Stiftung vom 26. November 2007 auf den beigelegten Brief der AXA Winterthur vom 23. November 2007 den Anforderungen der Rechtsprechung an eine Rücktrittserklärung (E. 3.1 hievor) genügen würde, oder ob vielmehr das Rücktrittsschreiben selbst die verschwiegene oder ungenau mitgeteilte Gefahrstatsache erwähnen muss, kann bei der gegebenen Rechtslage offenbleiben.</w:t>
      </w:r>
    </w:p>
    <w:p>
      <w:r>
        <w:rPr>
          <w:b/>
        </w:rPr>
        <w:t>E. 4</w:t>
      </w:r>
    </w:p>
    <w:p>
      <w:r>
        <w:t>Nach dem Gesagten hat der Beschwerdeführer Anspruch auf die reglementarischen Invalidenleistungen aus der freiwilligen beruflichen Vorsorge, deren Höhe die Vorsorgeeinrichtung festlegen wird (vgl. BGE 129 V 450 E. 3.1 S. 452). Ab Einreichung der Klage hat die Stiftung dem Beschwerdeführer auf jenen Rentenbetreffnissen, die bis zur Eröffnung des vorliegenden Urteils fällig werden, einen Verzugszins von 5 % zu bezahlen ( Art. 105 OR ; BGE 119 V 131 E. 4c S. 135; SZS 1997 S. 465).</w:t>
      </w:r>
    </w:p>
    <w:p>
      <w:r>
        <w:rPr>
          <w:b/>
        </w:rPr>
        <w:t>E. 5</w:t>
      </w:r>
    </w:p>
    <w:p>
      <w:r>
        <w:t>Dem Verfahrensausgang entsprechend sind die Gerichtskosten der unterliegenden Beschwerdegegnerin aufzuerlegen ( Art. 66 Abs.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