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9C_207/2014 vom 1. Mai 2014</w:t>
      </w:r>
    </w:p>
    <w:p>
      <w:r>
        <w:t>Bundesgericht, 2014-05-01, FR</w:t>
      </w:r>
    </w:p>
    <w:p>
      <w:r>
        <w:rPr>
          <w:b/>
        </w:rPr>
        <w:t xml:space="preserve">Quelle: </w:t>
      </w:r>
      <w:r>
        <w:t>https://mcp.opencaselaw.ch/entscheid/bger_9C_207_2014</w:t>
      </w:r>
    </w:p>
    <w:p>
      <w:r>
        <w:t>FR: TF 9C_207/2014 du 1 mai 2014</w:t>
      </w:r>
    </w:p>
    <w:p>
      <w:r>
        <w:t>IT: TF 9C_207/2014 del 1 maggio 2014</w:t>
      </w:r>
    </w:p>
    <w:p>
      <w:pPr>
        <w:pStyle w:val="Heading2"/>
      </w:pPr>
      <w:r>
        <w:t>Erwägungen</w:t>
      </w:r>
    </w:p>
    <w:p>
      <w:r>
        <w:rPr>
          <w:b/>
        </w:rPr>
        <w:t>E. 1.1</w:t>
      </w:r>
    </w:p>
    <w:p>
      <w:r>
        <w:t>Une décision portant sur le retrait ou la restitution de l'effet suspensif est une décision incidente contre laquelle le recours en matière de droit public n'est recevable qu'aux conditions de l' art. 93 al. 1 LTF . 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w:t>
      </w:r>
    </w:p>
    <w:p>
      <w:r>
        <w:rPr>
          <w:b/>
        </w:rPr>
        <w:t>E. 1.2</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w:t>
      </w:r>
    </w:p>
    <w:p>
      <w:r>
        <w:rPr>
          <w:b/>
        </w:rPr>
        <w:t>E. 1.3</w:t>
      </w:r>
    </w:p>
    <w:p>
      <w:r>
        <w:t>En tant qu'il critique la restitution par la juridiction cantonale de l'effet suspensif au recours formé par l'intimé, le recours en matière de droit public doit être considéré comme recevable, car la décision entreprise est effectivement susceptible de causer à l'administration un préjudice irréparable. Compte tenu de l'importance des prestations à verser, l'intimé ne serait vraisemblablement pas à même d'effectuer le remboursement des prestations allouées si le jugement final devait donner malgré tout gain de cause à l'office recourant.</w:t>
      </w:r>
    </w:p>
    <w:p>
      <w:r>
        <w:rPr>
          <w:b/>
        </w:rPr>
        <w:t>E. 2</w:t>
      </w:r>
    </w:p>
    <w:p>
      <w:r>
        <w:t>Une décision portant sur le retrait ou la restitution de l'effet suspensif est une décision incidente en matière de mesures provisionnelles au sens de l' art. 98 LTF , de sorte que seule la violation de droits constitutionnels peut être invoquée ( ATF 137 III 475 consid. 2 p. 477). Le Tribunal fédéral ne peut dès lors entrer en matière sur la violation d'un droit constitutionnel que si le grief a été invoqué et motivé de manière précise par la partie recourante ( art. 106 al. 2 LTF ; ATF 134 II 192 consid. 1.5 p. 197, 133 III 393 consid. 6 p. 397).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Constatant que l'office recourant s'était fondé dans un premier temps sur le rapport d'expertise de la Clinique B.________ pour retenir que les prévisions sur l'issue du litige au fond étaient plutôt défavorables à l'intimé et proposer de ne pas rétablir l'effet suspensif, puis qu'il s'était ravisé en expliquant que ce rapport n'était d'après son Service médical régional pas convaincant, la juridiction cantonale a considéré que les chances de succès de l'intimé à ce stade de la procédure apparaissaient</w:t>
      </w:r>
    </w:p>
    <w:p>
      <w:r>
        <w:t>prima facie telles qu'elles l'emportaient sur l'intérêt de l'office recourant à l'exécution immédiate de sa décision de réduire de moitié la rente de l'intimé.</w:t>
      </w:r>
    </w:p>
    <w:p>
      <w:r>
        <w:rPr>
          <w:b/>
        </w:rPr>
        <w:t>E. 3.2</w:t>
      </w:r>
    </w:p>
    <w:p>
      <w:r>
        <w:t>L'office recourant reproche à la juridiction cantonale d'avoir fait preuve d'arbitraire en rétablissant l'effet suspensif au recours. La juridiction cantonale ne pouvait, sans procéder à un plus ample examen de la situation, admettre la requête en restitution de l'effet suspensif de l'intimé, au seul motif que le SMR avait jugé non convaincant le rapport d'expertise de la Clinique B.________ en raison de l'absence d'une évaluation psychiatrique. Ce motif ne pouvait en effet suffire à estimer évidentes les chances de succès de l'intimé sur le fond du litige. Il ressortait clairement du dossier que c'étaient des problèmes de nature somatique qui avaient conduit à octroyer à l'intimé une rente d'invalidité, puis à la diminuer à la suite d'une amélioration de son état de santé. Sur le plan psychiatrique en revanche, il n'existait pas d'éléments objectifs permettant, en l'état, de tenir pour établi l'existence d'un diagnostic invalidant. Ce n'est donc pas parce que le SMR avait estimé que l'expertise de la Clinique B.________ n'était pas convaincante, faute de volet psychiatrique, et qu'il avait demandé le renvoi du dossier pour instruction complémentaire que la juridiction cantonale pouvait conclure que les chances de succès sur le fond étaient évidentes en faveur de l'assuré.</w:t>
      </w:r>
    </w:p>
    <w:p>
      <w:r>
        <w:rPr>
          <w:b/>
        </w:rPr>
        <w:t>E. 4</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solution différente soit concevable, voire préférable; pour qu'une telle décision soit annulée, encore faut-il qu'elle se révèle arbitraire, non seulement dans ses motifs, mais aussi dans son résultat ( ATF 137 I 1 consid. 2.4 p. 5 et les références).</w:t>
      </w:r>
    </w:p>
    <w:p>
      <w:r>
        <w:rPr>
          <w:b/>
        </w:rPr>
        <w:t>E. 5.1</w:t>
      </w:r>
    </w:p>
    <w:p>
      <w:r>
        <w:t>La LPGA ne contient aucune disposition en matière d'effet suspensif. L' art. 55 al. 1 LPGA prévoit que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RS 172.021). L' art. 61 LPGA , qui règle la procédure de recours devant le tribunal cantonal des assurances, renvoie quant à lui à l' art. 1 al. 3 PA . Aux termes de cette disposition, s'applique à la procédure devant les autorités cantonales de dernière instance qui ne statuent pas définitivement en vertu du droit public fédéral l' art. 55 al. 2 et 4 PA relatif au retrait de l'effet suspensif. Est réservé l' art. 97 LAVS relatif au retrait de l'effet suspensif pour les recours formés contre les décisions des caisses de compensation. D'après l' art. 97 LAVS applicable par analogie à l'assurance-invalidité par renvoi de l' art. 66 LAI , la caisse de compensation peut, dans sa décision, prévoir qu'un recours éventuel n'aura pas d'effet suspensif, même si la décision porte sur une prestation pécuniaire; au surplus, l'art. 55 al. 2 à 4 PA est applicable.</w:t>
      </w:r>
    </w:p>
    <w:p>
      <w:r>
        <w:rPr>
          <w:b/>
        </w:rPr>
        <w:t>E. 5.2</w:t>
      </w:r>
    </w:p>
    <w:p>
      <w:r>
        <w:t>Conformément à la jurisprudence relative à l' art. 55 PA ,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 ATF 124 V 82 consid. 6a p. 88).</w:t>
      </w:r>
    </w:p>
    <w:p>
      <w:r>
        <w:rPr>
          <w:b/>
        </w:rPr>
        <w:t>E. 5.3</w:t>
      </w:r>
    </w:p>
    <w:p>
      <w:r>
        <w:t>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 ATF 119 V 503 consid. 4 p. 507 et les références; voir également arrêt I 267/98 du 22 octobre 1998,</w:t>
      </w:r>
    </w:p>
    <w:p>
      <w:r>
        <w:t>in VSI 2000 p. 184; HANSJÖRG SEILER, in Praxiskommentar zum VwVG, n° 103 ad art. 55 PA ).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 ATF 129 V 370 et 106 V 18; voir également arrêt 8C_451/2010 du 10 novembre 2010 consid. 2 à 4,</w:t>
      </w:r>
    </w:p>
    <w:p>
      <w:r>
        <w:t>in SVR 2011 IV n° 33 p. 96).</w:t>
      </w:r>
    </w:p>
    <w:p>
      <w:r>
        <w:rPr>
          <w:b/>
        </w:rPr>
        <w:t>E. 6</w:t>
      </w:r>
    </w:p>
    <w:p>
      <w:r>
        <w:t>En l'absence d'une appréciation anticipée sommaire de la situation, la juridiction cantonale ne pouvait conclure que, selon toute vraisemblance, l'intimé se retrouverait avec une rente entière de l'assurance-invalidité à l'issue de la procédure. Comme le relève l'office recourant à l'appui de son recours, le simple fait que le SMR ait suggéré de procéder à un complément d'instruction sur le plan psychiatrique ne permettait pas de tirer une conclusion définitive quant à l'issue du litige. En proposant de renvoyer la cause afin de procéder à un complément d'instruction, l'office recourant a reconnu que le dossier n'était pas en état d'être tranché, admettant au contraire que l'issue du litige demeurait tout à fait incertaine. Dans ces conditions, l'intérêt de l'assurance-invalidité à réduire - même à titre provisoire - ses prestations continuait à l'emporter sur celui de l'intimé à percevoir une rente entière d'invalidité durant la durée de la procédure. Le retrait de l'effet suspensif par l'office recourant était par conséquent pleinement justifié et sa restitution par la juridiction cantonale insoutenable.</w:t>
      </w:r>
    </w:p>
    <w:p>
      <w:r>
        <w:rPr>
          <w:b/>
        </w:rPr>
        <w:t>E. 7</w:t>
      </w:r>
    </w:p>
    <w:p>
      <w:r>
        <w:t>Il s'ensuit que le recours est bien fondé. Eu égard aux circonstances du cas d'espèce, il sera renoncé à la perception de frais de procédure (art. 66 al. 1, 2ème phrase, LTF). L'intimé, qui succombe, n'a pas droit à des dépens ( art. 68 al. 1 LTF ). Le présent arrêt rend sans objet la demande d'effet suspensif présentée par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