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206/2016 vom 26. August 2016</w:t>
      </w:r>
    </w:p>
    <w:p>
      <w:r>
        <w:t>Bundesgericht, 2016-08-26, FR</w:t>
      </w:r>
    </w:p>
    <w:p>
      <w:r>
        <w:rPr>
          <w:b/>
        </w:rPr>
        <w:t xml:space="preserve">Quelle: </w:t>
      </w:r>
      <w:r>
        <w:t>https://mcp.opencaselaw.ch/entscheid/bger_9C_206_2016</w:t>
      </w:r>
    </w:p>
    <w:p>
      <w:r>
        <w:t>FR: TF 9C 206/2016 du 26 août 2016</w:t>
      </w:r>
    </w:p>
    <w:p>
      <w:r>
        <w:t>IT: TF 9C 206/2016 del 26 agosto 2016</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La juridiction cantonale s'est prononcée exclusivement sur la recevabilité du recours cantonal. Selon les premiers juges, la décision sur opposition avait valablement été notifiée le 27 mai 2015 à la dernière adresse que A.________ avait indiquée à la caisse de compensation. Aussi, le délai pour recourir avait expiré le 26 juin 2015, de sorte que le recours du 4 juillet 2015 était tardif. Il n'y avait par ailleurs pas lieu à restitution du délai de recours du moment que l'assurée ne se prévalait d'aucun empêchement non fautif.</w:t>
      </w:r>
    </w:p>
    <w:p>
      <w:r>
        <w:rPr>
          <w:b/>
        </w:rPr>
        <w:t>E. 3.1</w:t>
      </w:r>
    </w:p>
    <w:p>
      <w:r>
        <w:t>La recourante conteste en substance la tardiveté de son recours cantonal. Elle soutient avoir annoncé à la caisse de compensation son déménagement à V._______ (à l'étranger), de sorte que l'intimée ne pouvait valablement lui opposer la notification d'un envoi à U.________. Elle ne conteste par ailleurs pas avoir reçu la décision sur opposition du 26 mai 2015 mais affirme n'avoir pas été en mesure de recourir dans le délai de 30 jours en raison de difficultés liées à son éloignement géographique.</w:t>
      </w:r>
    </w:p>
    <w:p>
      <w:r>
        <w:rPr>
          <w:b/>
        </w:rPr>
        <w:t>E. 3.2</w:t>
      </w:r>
    </w:p>
    <w:p>
      <w:r>
        <w:t>Le point de savoir si le recours répond aux exigences de motivation déduites de l' art. 42 al. 2 LTF (supra consid. 1) peut demeurer indécis car il est de toute manière manifestement mal fondé. Si la recourante affirme que la caisse de compensation avait connaissance de son déménagement à V._______, elle ne conteste en revanche pas le fait qu'elle avait expressément fourni le siège de l'entreprise individuelle qu'elle exploitait à U.________ comme adresse de notification (courrier du 22 juillet 2013). Qui plus est, elle a maintenu cette adresse de notification lors de son opposition (du 2 mai 2014), alors qu'elle travaillait déjà à l'étranger. Dans ces circonstances, les premiers juges pouvaient retenir sans arbitraire que la recourante avait maintenu ce domicile élu à U.________ et qu'elle demeurait en contact régulier avec la personne qui gérait l'entreprise en son absence. La recourante ne prétend par ailleurs pas que la notification a été remise en mains d'une personne qui n'aurait pas été habilitée à recevoir le pli postal. Il n'y a pas lieu de remettre en cause le résultat de l'appréciation des preuves opérée par les premiers juges.</w:t>
      </w:r>
    </w:p>
    <w:p>
      <w:r>
        <w:rPr>
          <w:b/>
        </w:rPr>
        <w:t>E. 3.3</w:t>
      </w:r>
    </w:p>
    <w:p>
      <w:r>
        <w:t>C'est également en vain que la recourante souhaite tirer un argument en sa faveur des difficultés d'acheminement des courriers de U.________ à V._______. En effet, un envoi est considéré comme notifié, non seulement au moment où le destinataire en prend effectivement connaissance, mais déjà quand cet envoi se trouve dans sa sphère d'influence, de telle sorte qu'en organisant normalement ses affaires la personne concernée est à même d'en prendre connaissance (arrêt 2C_114/2014 du 18 juillet 2014 consid. 4.1 et les références). Or, en l'espèce, la recourante devait s'attendre à recevoir une communication de la caisse de compensation, puisqu'elle l'avait saisie d'une opposition, et il lui incombait, dans son propre intérêt, de prendre les mesures nécessaires pour sauvegarder ses droits. Elle devait en particulier veiller à ce que les plis adressés à la dernière adresse connue de l'intimée lui soient transmis fidèlement et avant l'échéance du délai légal de recours de 30 jours, lequel n'est pas prolongeable. Ainsi, les premiers juges ont sanctionné à juste titre par une décision d'irrecevabilité le recours formé par la recourante le 4 juillet 2015, soit tardivement.</w:t>
      </w:r>
    </w:p>
    <w:p>
      <w:r>
        <w:rPr>
          <w:b/>
        </w:rPr>
        <w:t>E. 4</w:t>
      </w:r>
    </w:p>
    <w:p>
      <w:r>
        <w:t>Mal fondé, le recours doit être rejeté selon la procédure simplifiée de l' art. 109 al. 2 let. a LTF , sans qu'il y ait lieu d'ordonner un échange d'écritures.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