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203/2022 vom 23. Mai 2022</w:t>
      </w:r>
    </w:p>
    <w:p>
      <w:r>
        <w:t>Bundesgericht, 2022-05-23, FR</w:t>
      </w:r>
    </w:p>
    <w:p>
      <w:r>
        <w:rPr>
          <w:b/>
        </w:rPr>
        <w:t xml:space="preserve">Quelle: </w:t>
      </w:r>
      <w:r>
        <w:t>https://mcp.opencaselaw.ch/entscheid/bger_9C_203_2022</w:t>
      </w:r>
    </w:p>
    <w:p>
      <w:r>
        <w:t>FR: TF 9C 203/2022 du 23 mai 2022</w:t>
      </w:r>
    </w:p>
    <w:p>
      <w:r>
        <w:t>IT: TF 9C 203/2022 del 23 maggio 2022</w:t>
      </w:r>
    </w:p>
    <w:p>
      <w:pPr>
        <w:pStyle w:val="Heading2"/>
      </w:pPr>
      <w:r>
        <w:t>Regeste</w:t>
      </w:r>
    </w:p>
    <w:p>
      <w:r>
        <w:t>Assurance-maladie (condition de recevabilité) | Assurance-maladie</w:t>
      </w:r>
    </w:p>
    <w:p>
      <w:pPr>
        <w:pStyle w:val="Heading2"/>
      </w:pPr>
      <w:r>
        <w:t>Erwägungen</w:t>
      </w:r>
    </w:p>
    <w:p>
      <w:r>
        <w:rPr>
          <w:b/>
        </w:rPr>
        <w:t>E. 7</w:t>
      </w:r>
    </w:p>
    <w:p>
      <w:r>
        <w:t>p. 61 consid. 2), que le recourant n'indique pas les motifs pour lesquels, à son avis, les premiers juges auraient dû entrer en matière sur son recours, qu'il s'ensuit que le recours doit être déclaré irrecevable selon la procédure simplifiée de l' art. 108 al. 1 let. b LTF , qu'en application de l'art. 66 al. 1, 2 ème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