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9C_203/2016 vom 29. April 2016</w:t>
      </w:r>
    </w:p>
    <w:p>
      <w:r>
        <w:t>Bundesgericht, 2016-04-29, DE</w:t>
      </w:r>
    </w:p>
    <w:p>
      <w:r>
        <w:rPr>
          <w:b/>
        </w:rPr>
        <w:t xml:space="preserve">Quelle: </w:t>
      </w:r>
      <w:r>
        <w:t>https://mcp.opencaselaw.ch/entscheid/bger_9C_203_2016</w:t>
      </w:r>
    </w:p>
    <w:p>
      <w:r>
        <w:t>FR: TF 9C_203/2016 du 29 avril 2016</w:t>
      </w:r>
    </w:p>
    <w:p>
      <w:r>
        <w:t>IT: TF 9C_203/2016 del 29 aprile 2016</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Die beschwerdeführende Partei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Der Antrag muss sich zudem auf jene Rechtsfragen beziehen, welche Gegenstand des vorinstanzlichen Verfahrens waren.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 Fehlt es an einem genügenden Begehren in diesem Sinne, kann der Mangel nicht mittels Gewährung einer Nachfrist behoben werden (Umkehrschluss aus Art. 42 Abs. 5 und 6 BGG ; BGE 134 II 244 E. 2.4.2 S. 247 f.; Urteil 8C_104/2016 vom 4. April 2016 E. 2; vgl. auch Urteil 4A_402/2011 vom 19. Dezember 2011 E. 1.1).</w:t>
      </w:r>
    </w:p>
    <w:p>
      <w:r>
        <w:rPr>
          <w:b/>
        </w:rPr>
        <w:t>E. 1.2</w:t>
      </w:r>
    </w:p>
    <w:p>
      <w:r>
        <w:t>Der Beschwerdeführer lässt den Antrag auf Aufhebung des angefochtenen Entscheids und Rückweisung (der Sache) "im Sinne der Erwägungen an die Vorinstanz" stellen. Damit verkennt der Rechtsvertreter das erwähnte Erfordernis eines grundsätzlich reformatorischen Rechtsbegehrens. Jedenfalls genügt es den gesetzlichen Anforderungen an einen klaren Antrag und eine in Auseinandersetzung mit den vorinstanzlichen Erwägungen zu haltende Beschwerdebegründung ( Art. 42 Abs. 1 und 2 BGG ) nicht, dem Bundesgericht einen Rückweisungsantrag einzureichen, dessen rechtliche Tragweite bezüglich der im Streit liegenden Rechtsverhältnisse zunächst völlig unklar ist und sich - allenfalls - erst aus den Motiven ("Erwägungen") der Beschwerde erschliesst. Das Einzige, was die Beschwerde unter diesem prozessualen Blickwinkel hinsichtlich Antrag und Begründung hinreichend anficht, ist die Aufhebung der halben Invalidenrente zum 1. Juni 2015. Hingegen sind die Herabsetzung der ganzen auf eine halbe Rente per 1. Februar 2014 und die Ablehnung beruflicher Massnahmen während der vollen Arbeitsunfähigkeit sowie später zufolge wiedererlangter Arbeitsfähigkeit (vgl. angefochtener Entscheid, E. 8.3.2 in fine) nicht rechtsgenüglich angefochten, weshalb insoweit auf die Beschwerde nicht einzutreten ist.</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Im angefochtenen Entscheid wurde in umfassender Würdigung der medizinischen Unterlagen, insbesondere gestützt auf die Berichte und Stellungnahmen der Frau Dr. med. B.________, Leitende Ärztin, Spital D.________, Departement Chirurgie KSGR, Abteilung für Handchirurgie, vom 24. Oktober 2013, 6. Februar und 21. August 2014 sowie 27. Februar 2015 und des Dr. med. E.________, Facharzt FMH für Rheumatologie sowie Physikalische Medizin und Rehabilitation, Regionaler Ärztlicher Dienst, vom 19. November 2013, festgestellt, dass der Beschwerdeführer vom 23. Mai 2012 (Operation) bis zum 23. Oktober 2013 sowohl in seiner angestammten Tätigkeit als Bauarbeiter als auch in einer angepassten Beschäftigung vollständig arbeitsunfähig gewesen sei. Ab diesem Zeitpunkt hätten sich die gesundheitlichen Verhältnisse - einhergehend mit einer Steigerung der Arbeitsfähigkeit im Rahmen leidensadaptierter Verrichtungen von zunächst 50 % auf ab 26. Februar 2015 100 % - sukzessive verbessert. Bezüglich der erwerblichen Auswirkungen resultiere daraus, so das kantonale Gericht im Weiteren, eine Invalidität von vorab    54,5 % und hernach 9,1 %. Diese begründe - unter (analoger) Berücksichtigung von Art. 88a Abs. 1 IVV - für die Zeit vom 1. Mai 2013 (Ablauf der einjährigen Wartezeit gemäss Art. 28 Abs. 1 lit. b und c IVG ) bis 31. Januar 2014 den Anspruch auf eine ganze und vom 1. Februar 2014 bis 31. Mai 2015 denjenigen auf eine halbe lnvalidenrente. Darüber hinaus bestehe kein Rentenanspruch.</w:t>
      </w:r>
    </w:p>
    <w:p>
      <w:r>
        <w:rPr>
          <w:b/>
        </w:rPr>
        <w:t>E. 3.2</w:t>
      </w:r>
    </w:p>
    <w:p>
      <w:r>
        <w:t>Die von der Vorinstanz auf Grund einer sorgfältigen und einlässlichen Würdigung des medizinischen Aktenverlaufs von Ende Oktober 2013 auf 31. Mai 2015 - und damit notabene drei Jahre nach der Handoperation - verschobene revisionsweise Aufhebung der Invalidenrente lässt sich im Rahmen der gesetzlichen Kognition (E. 2 hievor) nicht ernstlich in Frage stellen. Sämtliche Vorbringen in der Beschwerde vermögen weder eine offensichtlich unrichtige (unhaltbare, willkürliche) Beweiswürdigung noch eine Rechtsverletzung    ( Art. 95 lit. a BGG ) darzutun. Das Bundesgericht ist somit an die - hier einzig zu prüfende (vgl. E. 1.2 hievor) - Feststellung der für die Annahme einer ab Ende Februar 2015 grundsätzlich uneingeschränkten Arbeitsfähigkeit hinsichtlich angepasster, die linke Hand nicht belastender Tätigkeiten erheblichen Tatsachen gebunden      ( Art. 105 Abs. 1 BGG ). Die in Bezug auf die erwerbliche Seite der Invaliditätsbemessung erhobenen Rügen sind vor diesem Hintergrund unbehelflich, da sie, selbst wenn begründet, am Ergebnis eines weit unter 40 % liegenden Invaliditätsgrades nichts änderten.</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