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9C_202/2015 vom 26. Juni 2015</w:t>
      </w:r>
    </w:p>
    <w:p>
      <w:r>
        <w:t>Bundesgericht, 2015-06-26, IT</w:t>
      </w:r>
    </w:p>
    <w:p>
      <w:r>
        <w:rPr>
          <w:b/>
        </w:rPr>
        <w:t xml:space="preserve">Quelle: </w:t>
      </w:r>
      <w:r>
        <w:t>https://mcp.opencaselaw.ch/entscheid/bger_9C_202_2015</w:t>
      </w:r>
    </w:p>
    <w:p>
      <w:r>
        <w:t>FR: TF 9C_202/2015 du 26 juin 2015</w:t>
      </w:r>
    </w:p>
    <w:p>
      <w:r>
        <w:t>IT: TF 9C_202/2015 del 26 giugno 2015</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Per contro, in linea di principio, il Tribunale federale fonda il suo ragionamento giuridico sull'accertamento dei fatti eseguito dall'autorità inferiore ( art. 105 cpv. 1 LTF ) e vi si può scostare solo se è stato svolto in modo manifestamente inesatto ( DTF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Oggetto della lite è il diritto della ricorrente all'assunzione da parte di CSS Assicurazione malattie SA in qualità di assicuratore obbligatorio delle cure medico-sanitarie delle spese di trattamento effettuate all'estero, in concreto dei costi di cura presso l'Istituto D.________ per il periodo dal 25 novembre al 5 dicembre 2009.</w:t>
      </w:r>
    </w:p>
    <w:p>
      <w:r>
        <w:rPr>
          <w:b/>
        </w:rPr>
        <w:t>E. 3.1</w:t>
      </w:r>
    </w:p>
    <w:p>
      <w:r>
        <w:t>Pacifica è l'applicazione al caso concreto delle norme di diritto interno svizzero in materia LAMal, considerato che l'Istituto D.________, istituto privato convenzionato, ha fatturato le proprie prestazioni secondo tariffe private e al di fuori del sistema sanitario statale italiano.</w:t>
      </w:r>
    </w:p>
    <w:p>
      <w:r>
        <w:rPr>
          <w:b/>
        </w:rPr>
        <w:t>E. 3.2</w:t>
      </w:r>
    </w:p>
    <w:p>
      <w:r>
        <w:t>La LAMal è retta dal principio di territorialità. Tuttavia, a norma dell' art. 34 cpv. 2 LAMal , il Consiglio federale può decidere che l'assicurazione obbligatoria delle cure medico-sanitarie assuma i costi delle prestazioni di cui agli art. 25 cpv. 2 o 29 LAMal eseguite all'estero per motivi di ordine medico (prima frase). Sulla base di questa delega di competenza, l'autorità esecutiva ha previsto eccezioni disciplinate all' art. 36 OAMal . In relazione alla fattispecie concreta, il primo capoverso prevede la possibilità di una cura medica all'estero nel caso in cui la stessa non può essere effettuata in Svizzera (un elenco di queste prestazioni non è tuttavia stato allestito; cfr. DTF 134 V 330 con riferimenti; cfr. pure sentenza 9C_739/2012 del 7 febbraio 2013, consid. 2.1) : soltanto gravi lacune nell'offerta di cura ("Versorgungslücke") giustificano di distanziarsi dal principio di territorialità (cfr. DTF 134 V 330 consid. 2.3, come pure sentenza 9C_739/2012 del 7 febbraio 2013, consid. 2.3). Il secondo capoverso, prevede invece che l'assicurazione obbligatoria delle cure medico-sanitarie assume i costi dei trattamenti effettuati all'estero in caso d'urgenza. Esiste urgenza se l'assicurato che soggiorna temporaneamente all'estero necessita di un trattamento medico e se il rientro in Svizzera risulta inappropriato. Non esiste urgenza se l'assicurato si reca all'estero allo scopo di seguire questo trattamento. Decisiva è la circostanza che l'assicurato necessita, subito e in maniera imprevista, di un trattamento all'estero (cfr. sentenza 9C_11/2007 del 4 marzo 2008, consid. 3.2).</w:t>
      </w:r>
    </w:p>
    <w:p>
      <w:r>
        <w:rPr>
          <w:b/>
        </w:rPr>
        <w:t>E. 4.1</w:t>
      </w:r>
    </w:p>
    <w:p>
      <w:r>
        <w:t>Il Tribunale cantonale, confermando in parte l'analisi già effettuata nel giudizio del 19 gennaio 2012, come pure in considerazione della dettagliata documentazione medica e amministrativa, ha confermato l'assenza del presupposto dell'urgenza della cura all'estero, in particolare in considerazione dell'assenza di peggioramento delle condizioni di salute durante il soggiorno milanese. Infine il giudice di prime cure ha, sempre sulla scorta della documentazione valetudinaria agli atti, ritenuta data la possibilità di effettuare il noto intervento chirurgico anche in Svizzera, venendo così a mancare il presupposto per l'applicazione dell'eccezione al principio di territorialità di cui all' art. 36 cpv. 1 OAMal .</w:t>
      </w:r>
    </w:p>
    <w:p>
      <w:r>
        <w:rPr>
          <w:b/>
        </w:rPr>
        <w:t>E. 4.2</w:t>
      </w:r>
    </w:p>
    <w:p>
      <w:r>
        <w:t>La ricorrente insiste per contro sull'urgenza ai sensi dell' art. 36 cpv. 2 OAMal e soprattutto sull'assenza di possibilità dell'operazione in Svizzera.</w:t>
      </w:r>
    </w:p>
    <w:p>
      <w:r>
        <w:rPr>
          <w:b/>
        </w:rPr>
        <w:t>E. 5.1</w:t>
      </w:r>
    </w:p>
    <w:p>
      <w:r>
        <w:t>Sul presupposto dell'urgenza ancora una volta la ricorrente si limita a ribadire quanto sostenuto dinnanzi all'istanza cantonale. Essa critica poi in termini in parte appellatori - e quindi inammissibili - la pronuncia impugnata, con considerazioni in contrasto con la realtà fattuale. Dagli atti medici non risulta il presunto improvviso peggioramento dello stato di salute (cfr. visita specialistica del 20 novembre 2009 dal dott. E.________, come pure la relazione di dimissione del 5 dicembre 2009 della dott.ssa F.________ e la precisazione del dott. E.________ del 13 febbraio 2014 da cui emerge durante la visita specialistica del 20 novembre 2009 la richiesta espressa di una rivalutazione chirurgica. Dagli atti nemmeno risulta che vi sia stata una qualsivoglia somministrazione di farmaci per far fronte a un preteso peggioramento. Non vi sono poi elementi a conforto dell'urgenza dell'intervento chirurgico: la visita specialistica si è svolta il 20 novembre 2009 e il ricovero è del 25 novembre 2009, con intervento il giorno successivo. Nei 6 giorni precedenti l'operazione non emerge alcun motivo di natura medica che avrebbe impedito alla ricorrente il rientro in Svizzera per farsi operare, né alcun riferimento al fatto che lo stato di salute, rispettivamente la durata della vita, sarebbero stati compromessi in caso di non intervento immediato. Ne consegue che l'interpretazione della ricorrente del certificato del dott. E.________ del 18 gennaio 2010, secondo cui l'intervento chirurgico era da prevedere in tempi brevi e dunque era urgente per salvarle la vita, non è corretta e non configura pertanto l'urgenza ai sensi dell' art. 36 cpv.2 OAMal (subito e in maniera imprevista, cfr. consid. 3).</w:t>
      </w:r>
    </w:p>
    <w:p>
      <w:r>
        <w:rPr>
          <w:b/>
        </w:rPr>
        <w:t>E. 5.2</w:t>
      </w:r>
    </w:p>
    <w:p>
      <w:r>
        <w:t>Anche le censure relative alla possibilità dell'operazione in Svizzera sono già state sollevate in precedenza: la ricorrente si limita a ribadire in modo apodittico che l'intervento effettuato in Italia non sarebbe stato realizzabile in Svizzera. I l fatto che durante la degenza in Svizzera dal 6 al 13 novembre 2009 non sia stata menzionata la possibilità di intervenire chirurgicamente, come è poi avvenuto a Milano il 26 novembre 2009, non giustifica l'eccezione al principio di territorialità di cui all' art. 36 cpv. 1 OAMal . Determinante è infatti che la misura d'ordine medico sia possibile in Svizzera. In altre parole, il fatto che l'ospedale ticinese non abbia proposto la soluzione eseguita in Italia, non significa che la prestazione non fosse realizzabile in Svizzera. Questo era possibile nel caso in rassegna (cfr. rapporto dott. G.________ del 4 aprile 2014). Si rileva altresì come, contrariamente a quanto asseverato dalla ricorrente, nessuno pretendeva che lei conoscesse la possibilità di una tale operazione, ma nulla le vietava per contro di chiedere un secondo parere a un altro specialista svizzero. Appurato pertanto che l'intervento sarebbe stato ed è realizzabile - senza rischi supplementari - su territorio elvetico, non vi è spazio per l'applicazione dell'eccezione al principio di territorialità.</w:t>
      </w:r>
    </w:p>
    <w:p>
      <w:r>
        <w:rPr>
          <w:b/>
        </w:rPr>
        <w:t>E. 5.3</w:t>
      </w:r>
    </w:p>
    <w:p>
      <w:r>
        <w:t>Infine, per completezza, si rileva parimenti che la censura della ricorrente secondo cui la Cassa malati, malgrado le chiare indicazioni fornite dal Tribunale cantonale nella sentenza di rinvio del 19 gennaio 2012, non si sia chinata sulla questione di sapere se l'intervento medico fosse necessario per permettere alla ricorrente di proseguire il proprio soggiorno all'estero sino all'Epifania è inconsistente, la causa dovendo essere evasa esclusivamente in applicazione di quello svizzero (cfr. consid. 3.1 suesposto).</w:t>
      </w:r>
    </w:p>
    <w:p>
      <w:r>
        <w:rPr>
          <w:b/>
        </w:rPr>
        <w:t>E. 6</w:t>
      </w:r>
    </w:p>
    <w:p>
      <w:r>
        <w:t>Ne discende che il ricorso dev'essere respinto e che la pronuncia cantonale dev'essere confermata. In considerazione delle particolari circostanze del caso e della situazione economica della ricorrente, l'istanza tendente alla concessione dell'assistenza giudiziaria e del gratuito patrocinio va accolta ( art. 64 LTF ). La ricorrente viene però resa attenta che qualora fosse più tardi in grado di pagare, sarà tenuta a risarcire la cassa del Tribunale ( art. 64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