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202/2011 vom 12. Mai 2011</w:t>
      </w:r>
    </w:p>
    <w:p>
      <w:r>
        <w:t>Bundesgericht, 2011-05-12, DE</w:t>
      </w:r>
    </w:p>
    <w:p>
      <w:r>
        <w:rPr>
          <w:b/>
        </w:rPr>
        <w:t xml:space="preserve">Quelle: </w:t>
      </w:r>
      <w:r>
        <w:t>https://mcp.opencaselaw.ch/entscheid/bger_9C_202_2011</w:t>
      </w:r>
    </w:p>
    <w:p>
      <w:r>
        <w:t>FR: TF 9C 202/2011 du 12 mai 2011</w:t>
      </w:r>
    </w:p>
    <w:p>
      <w:r>
        <w:t>IT: TF 9C 202/2011 del 12 maggio 2011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Rechtsmängel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Arztberichten ( BGE 134 V 231 E. 5.1 S. 232, Urteil 8C_310/2009 vom 24. August 2009) und Abklärungsberichten an Ort und Stelle (vgl. E. 3 hievor) beschlagen Rechtsfragen, die vom Bundesgericht frei zu prüfen sind ( Art. 95 lit. a BGG ). Die auf einen rechtsgenüglichen Abklärungsbericht an Ort und Stelle gestützten Feststellungen über Einschränkungen in bestimmten Lebensverrichtungen sind demgegenüber - analog zu den medizinischen Angaben über gesundheitliche Beeinträchtigungen bzw. über das noch vorhandene funktionelle Leistungsvermögen ( BGE 132 V 393 E. 3.2 S. 398 f.) - Sachverhaltsfeststellungen. Die Ergebnisse der Beweiswürdigung im Allgemeinen sind ebenfalls tatsächlicher Natur (Urteil 8C_119/2009 vom 27. Juli 2009 E. 3).</w:t>
      </w:r>
    </w:p>
    <w:p>
      <w:r>
        <w:rPr>
          <w:b/>
        </w:rPr>
        <w:t>E. 2</w:t>
      </w:r>
    </w:p>
    <w:p>
      <w:r>
        <w:t>Die Vorinstanz hat die Grundsätze über den Anspruch auf Hilflosenentschädigung ( Art. 9 ATSG ; Art. 42 Abs. 1 und 2 IVG ; Art. 37 IVV ), die massgebenden sechs alltäglichen Lebensverrichtungen (Ankleiden, Auskleiden; Aufstehen, Absitzen, Abliegen; Essen; Körperpflege; Verrichtung der Notdurft; Fortbewegung [im oder ausser Haus], Kontaktaufnahme; BGE 133 V 450 E. 7.2 S. 463) sowie den Tatbestand der lebenspraktischen Begleitung und die Differenzierung zwischen direkter und indirekter Dritthilfe ( Art. 42 Abs. 3 IVG ; Art. 37 Abs. 3 lit. e und Art. 38 IVV ; BGE 133 V 450 ff.) zutreffend dargelegt. Darauf wird verwiesen.</w:t>
      </w:r>
    </w:p>
    <w:p>
      <w:r>
        <w:rPr>
          <w:b/>
        </w:rPr>
        <w:t>E. 3</w:t>
      </w:r>
    </w:p>
    <w:p>
      <w:r>
        <w:t>Unbestritten ist der Versicherte in den beiden alltäglichen Lebensverrichtungen Essen und Fortbewegung / Pflege gesellschaftlicher Kontakte regelmässig und in erheblicher Weise auf die Hilfe Dritter angewiesen. In Frage steht hingegen, ob er auch dauernd der lebenspraktischen Begleitung im Sinne von Art. 37 Abs. 2 lit. c IVV bedarf, was eine mittlere Hilflosigkeit begründet.</w:t>
      </w:r>
    </w:p>
    <w:p>
      <w:r>
        <w:rPr>
          <w:b/>
        </w:rPr>
        <w:t>E. 3.1</w:t>
      </w:r>
    </w:p>
    <w:p>
      <w:r>
        <w:t>Das kantonale Gericht gelangte nach einlässlicher Würdigung der Akten, insbesondere des Abklärungsberichts vom 9. Oktober 2009 und der zusätzlichen Stellungnahme der Abklärungsperson vom 21. Dezember 2009 zum nachvollziehbar begründeten Ergebnis, dass beim Versicherten ein Bedarf an lebenspraktischer Begleitung für die vorausgesetzten zwei Stunden pro Woche nicht ausgewiesen sei. Es stellte insbesondere fest, beim Versicherten sei weder im Bereich "An/Auskleiden" noch im Bereich "Körperpflege" eine regelmässige und erhebliche Dritthilfe ausgewiesen. Er werde in diesen Bereichen durch die Ehefrau unterstützt. Dieser Beitrag könne jedoch durch das Einsetzen von Hilfsmitteln, was im Umfang der Schadenminderungspflicht gerechtfertigt sei, ersetzt werden.So sei es ihm beispielsweise zumutbar, ein Duschbrett anzuschaffen, damit das Aussteigen aus der Badewanne weniger Mühe bereite. Der Umfang der Drittbegleitung umfasse nicht wöchentlich mindestens zwei Stunden. Für die Dritthilfe beim Kleidereinkauf falle (aufgerechnet) täglich eine Minute an; bei den regelmässigen Arztbesuchen könnten nur die Wegbegleitung und nicht die gesamte Besprechungsdauer angerechnet werden, weshalb täglich fünf Minuten hinzugerechnet würden und für administrative Tätigkeiten weitere fünf Minuten. Insgesamt werde von einer Dritthilfe im Umfang von 14 Minuten täglich bzw. von total 98 Minuten pro Woche ausgegangen. Der Versicherte nenne keine weiteren Lebensbereiche, in denen er eingeschränkt sei. Die von der Ehefrau allenfalls zusätzlich übernommenen Haushaltstätigkeiten lägen im Umfang der Schadenminderungspflicht von Familienmitgliedern.</w:t>
      </w:r>
    </w:p>
    <w:p>
      <w:r>
        <w:rPr>
          <w:b/>
        </w:rPr>
        <w:t>E. 3.2</w:t>
      </w:r>
    </w:p>
    <w:p>
      <w:r>
        <w:t>Diese Tatsachenfeststellungen des kantonalen Gerichts sind im letztinstanzlichen Prozess grundsätzlich verbindlich (E. 1). In der Beschwerde wird nichts vorgebracht, was diese als offensichtlich unrichtig oder rechtsfehlerhaft erscheinen lässt: Soweit der Beschwerdeführer erneut bemängelt, die Verrichtung von Haushaltstätigkeiten durch die Ehefrau müsse beim Bedarf an lebenspraktischer Begleitung berücksichtigt werden, hat bereits das kantonale Gericht zutreffend dargelegt, dass die getätigten Verrichtungen im Rahmen der Schadenminderungspflicht von der Ehefrau und dem Sohn erwartet dürfen, zumal die geltend gemachte Mithilfe das übliche Mass dessen, was gemein unter zumutbarer Mithilfe der Ehefrau und des Sohnes zu subsumieren ist, nicht überschreitet (demgegenüber SVR 2011 IV Nr. 11 S. 29, 9C_410/2009 E. 5.5). Sodann ist hinsichtlich der Mithilfe bei der Medikamentenvorbereitung festzuhalten, dass zur Kontrolle von Blutzucker und Blutdruck auch die Leistungen der Spitex in Anspruch genommen werden. Schliesslich wurde die Begleitung zu Arztbesuchen bereits im Bereich Fortbewegung und Pflege gesellschaftlicher Kontakte anspruchsbegründend berücksichtigt. Entgegen der Auffassung des Versicherten erweisen sich weitere Abklärungen bezüglich des Umfanges der Mithilfe von Ehefrau und Sohn deshalb als nicht erforderlich. Die neu ins Recht gelegten Auflistungen von Hilfeleistungen durch die beiden Angehörigen während einer Woche können als unzulässiges Novum ( Art. 99 Abs. 1 BGG ) nicht berücksichtigt werden. Selbst wenn darauf abgestellt werden könnte, würden diese jedoch am vorinstanzlichen Ergebnis, dass eine lebenspraktische Begleitung während zwei Stunden pro Woche nicht ausgewiesen ist, nichts ändern. Zum einen wird darin lediglich eine andere Einschätzung der notwendigen aufzuwendenden Zeit abgegeben als im Abklärungsbericht, ohne dass weiter aufgezeigt würde, weshalb dieser nicht beachtlich wäre, was als eine im Rahmen der geltenden Überprüfungsbefugnis (E. 1) unzulässige Kritik an der vorinstanzlichen Beweiswürdigung unbeachtlich bleiben muss. Zum andern übersteigen auch die genannten Verrichtungen das übliche Mass an Unterstützung im Rahmen der Schadenminderungspflicht von Familienangehörigen nicht.</w:t>
      </w:r>
    </w:p>
    <w:p>
      <w:r>
        <w:rPr>
          <w:b/>
        </w:rPr>
        <w:t>E. 3.3</w:t>
      </w:r>
    </w:p>
    <w:p>
      <w:r>
        <w:t>Zudem führte das kantonale Gericht zutreffend aus, weshalb die vom Versicherten ins Feld geführten SAKE-Tabellen hier nicht anwendbar seien.</w:t>
      </w:r>
    </w:p>
    <w:p>
      <w:r>
        <w:rPr>
          <w:b/>
        </w:rPr>
        <w:t>E. 4</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