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9C_202/2008 vom 29. Mai 2008</w:t>
      </w:r>
    </w:p>
    <w:p>
      <w:r>
        <w:t>Bundesgericht, 2008-05-29, DE</w:t>
      </w:r>
    </w:p>
    <w:p>
      <w:r>
        <w:rPr>
          <w:b/>
        </w:rPr>
        <w:t xml:space="preserve">Quelle: </w:t>
      </w:r>
      <w:r>
        <w:t>https://mcp.opencaselaw.ch/entscheid/bger_9C_202_2008</w:t>
      </w:r>
    </w:p>
    <w:p>
      <w:r>
        <w:t>FR: TF 9C_202/2008 du 29 mai 2008</w:t>
      </w:r>
    </w:p>
    <w:p>
      <w:r>
        <w:t>IT: TF 9C_202/2008 del 29 maggio 2008</w:t>
      </w:r>
    </w:p>
    <w:p>
      <w:pPr>
        <w:pStyle w:val="Heading2"/>
      </w:pPr>
      <w:r>
        <w:t>Erwägungen</w:t>
      </w:r>
    </w:p>
    <w:p>
      <w:r>
        <w:rPr>
          <w:b/>
        </w:rPr>
        <w:t>E. 1</w:t>
      </w:r>
    </w:p>
    <w:p>
      <w:r>
        <w:t>Die Beschwerdeschrift hat die Unterschrift des Beschwerdeführers oder seines Bevollmächtigten zu enthalten ( Art. 42 Abs. 1 und 5 BGG ). Parteivertreter haben sich durch eine Vollmacht auszuweisen ( Art. 40 Abs. 2 BGG ). Die eingereichte Beschwerdeschrift ist nur von der Helsana unterzeichnet. Von der Beschwerdeführerin A.________ liegt weder eine Unterschrift noch eine Vollmacht an die Helsana vor. Die Helsana macht jedoch (grundsätzlich zu Recht, vgl. RKUV 2004 Nr. KV 287 S. 298 [Urteil K 124/02 vom 30. April 2004, E. 2.3]) geltend, sie vertrete auf Grund von Art. 89 Abs. 3 KVG von Gesetzes wegen die Versicherte, weshalb eine Vollmacht nicht erforderlich sei. Die gesetzliche Vertretung nach Art. 89 Abs. 3 KVG (und damit eine gültige Beschwerde auch für die Beschwerdeführerin A.) setzt jedoch voraus, dass überhaupt eine Streitigkeit im Sinne von Art. 89 Abs. 1 KVG vorliegt ( BGE 131 V 191 E. 4 S. 194 f.).</w:t>
      </w:r>
    </w:p>
    <w:p>
      <w:r>
        <w:rPr>
          <w:b/>
        </w:rPr>
        <w:t>E. 2</w:t>
      </w:r>
    </w:p>
    <w:p>
      <w:r>
        <w:t>Das Bundesgericht prüft die vorinstanzliche Beurteilung der Prozessvoraussetzungen von Amtes wegen ( BGE 128 V 89 E. 2a).</w:t>
      </w:r>
    </w:p>
    <w:p>
      <w:r>
        <w:rPr>
          <w:b/>
        </w:rPr>
        <w:t>E. 2.1</w:t>
      </w:r>
    </w:p>
    <w:p>
      <w:r>
        <w:t>Das kantonale Schiedsgericht entscheidet Streitigkeiten zwischen Versicherern und Leistungserbringern ( Art. 89 Abs. 1 KVG ). Es ist auch zuständig, wenn die versicherte Person die Vergütung schuldet (System des Tiers garant); in diesem Fall vertritt die Versicherung sie auf eigene Kosten ( Art. 89 Abs. 3 KVG ). Die sachliche Zuständigkeit erstreckt sich auf alle Streitigkeiten zwischen Krankenversicherern und Leistungserbringern, wenn und soweit sie Rechtsbeziehungen zum Gegenstand haben, die sich aus dem KVG ergeben oder auf Grund des KVG eingegangen worden sind. Der Streitgegenstand muss mit anderen Worten die besondere Stellung der Versicherer oder Leistungserbringer im Rahmen des KVG, mithin die obligatorische Krankenpflegeversicherung betreffen ( BGE 132 V 352 E. 2.1 S. 353); Streitigkeiten aus Zusatzversicherungen zur Krankenversicherung fallen demgegenüber in die Zuständigkeit der nach Art. 85 Abs. 2 VAG (bzw. Art. 47 Abs. 1 aVAG ) zuständigen Gerichte (vgl. Art. 12 Abs. 3 KVG ; BGE 133 III 439 E. 2.1 S. 441 f., 123 V 324 E. 3a S. 328, 133 III 607 nicht publ. E. 1.3, 132 V 352 nicht publ. E. 2.7).</w:t>
      </w:r>
    </w:p>
    <w:p>
      <w:r>
        <w:rPr>
          <w:b/>
        </w:rPr>
        <w:t>E. 2.2</w:t>
      </w:r>
    </w:p>
    <w:p>
      <w:r>
        <w:t>Der Beschwerdegegner hat im vorinstanzlichen Verfahren die sachliche Zuständigkeit des Schiedsgerichts bestritten, da die ausserkantonale Hospitalisation nicht medizinisch indiziert und daher keine KVG-Pflichtleistung sei. Die Vorinstanz ist zwar auf die Klage mangels eines Feststellungsinteresses nicht eingetreten, weil der Kanton Zürich den fraglichen Betrag verfügungsweise dem Zusatzversicherer auferlegt habe, was Gegenstand eines hängigen Rechtsmittelverfahrens bilde, hat aber ihre sachliche Zuständigkeit bejaht mit dem Argument, für deren Beurteilung sei vom Klagebegehren und dessen Begründung auszugehen. Wenn behauptet werde, es liege ein aus dem KVG abgeleiteter Anspruch vor, habe das für aus dem KVG abgeleitete Ansprüche zuständige Schiedsgericht seine Zuständigkeit zu bejahen. Indessen ergibt sich die Zuständigkeit des Schiedsgerichts nicht schon daraus, dass der Kläger behauptet, es liege ein aus dem KVG abgeleiteter Anspruch vor, sondern sie richtet sich nach der Natur des geltend gemachten Anspruchs, wie er sich aus Rechtsbegehren und Begründung ergibt (Staehelin/Staehelin/Grolimund, Zivilprozessrecht, Zürich 2008, S. 61; BGE 130 III 489 E. 1.3 S. 492, 119 II 66 E. 2a S. 68). Ob aber dieses behauptete Klagefundament dem Rechtsgebiet angehört, für welches das Gericht zuständig ist, ist als Prozessvoraussetzung von Amtes wegen zu prüfen ( BGE 125 III 461 E. 2 S. 463 f.).</w:t>
      </w:r>
    </w:p>
    <w:p>
      <w:r>
        <w:rPr>
          <w:b/>
        </w:rPr>
        <w:t>E. 2.3</w:t>
      </w:r>
    </w:p>
    <w:p>
      <w:r>
        <w:t>Die Beschwerdeführerinnen haben in ihrer Klage nicht behauptet, es stehe eine Leistung der obligatorischen Krankenpflegeversicherung zur Diskussion. Im Gegenteil steht fest und ist unbestritten, dass die Beschwerdeführerin A.________ nicht aus medizinischen Gründen ein Spital ausserhalb ihres Wohnkantons aufsuchte. Der Grundversicherer muss demzufolge die Kosten höchstens nach dem Tarif übernehmen, der im Wohnkanton der versicherten Person gilt ( Art. 41 Abs. 1 Satz 3 KVG ). Ebenso ist unbestritten, dass die Differenz zwischen diesem Tarif und dem vom Leistungserbringer verlangten (korrigierten) Betrag von Fr. 35'135.- zu Lasten der Zusatzversicherung geht ( BGE 127 V 398 E. 2b/dd S. 404 f.). Es steht auch nicht (wie in BGE 127 V 398 , 133 V 123 oder RKUV 2004 Nr. KV 287 S. 298 [Urteil K 124/02 vom 30. April 2004]) in Frage, wie hoch die Leistungspflicht des Grundversicherers nach diesem Tarif ist. Nach der Darstellung der Beschwerdeführerinnen in ihrer vorinstanzlichen Klage besteht im Wohnkanton Aargau ein anwendbarer Tarif, nach welchem sich die Kosten der streitbetroffenen Behandlung auf Fr. 4'080.- belaufen. Diesen Betrag schuldet die Helsana aus der Grundversicherung. Schliesslich anerkennen die Beschwerdeführerinnen in ihrer vorinstanzlich eingereichten Klage, für die erfolgte Behandlung den Betrag von Fr. 13'192.05 zu schulden, also bedeutend mehr als die Vergütung, welche aus der obligatorischen Krankenpflegeversicherung erbracht werden muss. Die Beschwerdeführerin A.________ ist somit nicht als obligatorisch Krankenpflegeversicherte betroffen, sondern als Schuldnerin einer nicht von der Sozialversicherung zu vergütenden Spitalrechnung. Die Helsana ihrerseits kann vom Ausgang des Verfahrens nicht in ihrer Eigenschaft als gesetzlicher Grundversicherer berührt sein, sondern höchstens die von ihr vertretene Helsana Zusatzversicherungen AG als Zusatzversicherer. Zur Diskussion steht klarerweise nicht eine Streitigkeit aus obligatorischer Krankenpflegeversicherung. Die Beschwerdeführerinnen haben ihre Klage nur damit begründet, auch für den nicht unter die Grundversicherung fallenden Betrag gelte der Tarifschutz des KVG; dieser Tarifschutz sei im konkreten Fall verletzt. Die Zuständigkeit des Schiedsgerichts hängt somit davon ab, ob ein Streit über den vom ausserkantonalen Leistungserbringer bei Wahlbehandlungen über den anwendbaren Wohnkantontarif hinaus verlangten Betrag eine Streitigkeit im Sinne von Art. 89 KVG ist. Verneinendenfalls ist das Schiedsgericht nicht zuständig, auch dann nicht, wenn die Kläger behaupten, das KVG sei verletzt (vgl. BGE 131 V 191 E. 4 S. 194 f. und Urteil K 36/03 vom 26. April 2004, E. 6).</w:t>
      </w:r>
    </w:p>
    <w:p>
      <w:r>
        <w:rPr>
          <w:b/>
        </w:rPr>
        <w:t>E. 2.4</w:t>
      </w:r>
    </w:p>
    <w:p>
      <w:r>
        <w:t>Das KVG regelt - entsprechend seiner Verfassungsgrundlage ( Art. 34bis aBV bzw. heute Art. 117 BV ) - nicht das gesamte schweizerische Gesundheitswesen, sondern einzig die soziale Krankenversicherung ( Art. 1a Abs. 1 KVG ). Auch die Leistungserbringer sind dem KVG nur insoweit unterstellt, als sie ihre Leistungen zu Lasten der obligatorischen Krankenpflegeversicherung abrechnen. Wie das ganze KVG gelten dessen Tarifvorschriften ebenfalls grundsätzlich nur für diejenigen Leistungen, welche auf der Grundlage des KVG vergütet werden. Auch der Tarifschutz gilt nach dem Wortlaut von Art. 44 Abs. 1 KVG nur für "Leistungen nach diesem Gesetz", nicht aber für Leistungen, die mangels KVG-Deckung durch die Patienten selber oder allenfalls durch Zusatzversicherungen getragen werden ( BGE 132 V 352 E. 2.5.1 S. 355, 130 I 306 E. 2.1 S. 310, 129 I 346 E. 3.2 S. 350 f., 126 III 345 E. 3b S. 350; vgl. auch BGE 131 V 133 E. 6 S. 139: "im Rahmen der Tätigkeit für die soziale Krankenversicherung"). So wird die Rechtmässigkeit von kantonalen Tarifen, welche die nicht vom KVG gedeckten Kosten in Pflegeheimen ( Art. 50 KVG ) oder die nicht vom KVG geregelten Tarife für Privatpatienten regeln, nicht im sozialversicherungsrechtlichen Verfahren (Anfechtung des Tarifs nach aArt. 53 KVG bzw. heute Art. 34 des Bundesgesetzes vom 17. Juni 2005 über das Bundesverwaltungsgericht [Verwaltungsgerichtsgesetz, VGG; SR 173.32] oder schiedsgerichtliches Verfahren nach Art. 89 KVG ) beurteilt, sondern auf dem Weg der ordentlichen öffentlichen Rechtspflege, selbst wenn behauptet wird, der Tarif verletze die Bestimmungen des KVG; denn dieses ist auf solche Tarife gar nicht anwendbar ( BGE 130 I 306 , 129 I 346 E. 2 [nicht publ.] und 3 S. 349 f.; Urteil 2P.87/2004 vom 18. Januar 2005; Urteil 2P.83/2002 vom 24. Juni 2003, E. 2 und 3). Anders verhält es sich, wenn streitig ist, ob sich der Leistungserbringer mit dem Tarif der Grundversicherung begnügen muss oder ob er über die Grundversorgung hinaus zulässigerweise eine (allenfalls von der Zusatzversicherung abzudeckende) Mehrleistung erbringt; denn hier geht es in Wirklichkeit um den Umfang des Leistungsbereichs der gesetzlichen Grundversicherung ( BGE 132 V 352 E. 2.5.2-2.5.4 S. 355 f.). Ein solcher Fall liegt hier aber nicht vor; weder der Umfang der Grundversorgung noch die Leistungspflicht des Grundversicherers sind umstritten, sondern einzig das Ausmass einer Vergütung, die unbestritten nicht von der obligatorischen Krankenpflegeversicherung zu bezahlen ist. Das ist nach dem Gesagten keine KVG-Streitigkeit.</w:t>
      </w:r>
    </w:p>
    <w:p>
      <w:r>
        <w:rPr>
          <w:b/>
        </w:rPr>
        <w:t>E. 2.5</w:t>
      </w:r>
    </w:p>
    <w:p>
      <w:r>
        <w:t>Nach einem Teil der Lehre unterstehen allerdings auch Vergütungen für ausserkantonale Wahlbehandlungen gemäss Art. 41 Abs. 1 KVG dem Tarifrecht und Tarifschutz des KVG (Markus Moser, Die Zuständigkeit der Kantonsregierung zur Tariffestsetzung nach KVG, SZS 2006 S. 16 ff., 23 ff., 27 f.; Beat Meyer, Tarifschutz und Tarifgestaltung bei ausserkantonaler Hospitalisation in der sozialen Krankenversicherung, SZS 2004 S. 527 ff., 531 ff.; Beat Meyer, Schranken und Freiräume von Art. 41 KVG , in: Thomas Gächter [Hrsg.], Ausserkantonale Hospitalisation: Eine Tür zu mehr Wettbewerb im Gesundheitswesen? Bern/Zürich 2006, S. 1 ff., 12, Rz. 26). Diese Auffassung kann sich auf die Botschaft des Bundesrates zum KVG stützen (BBl 1992 I 169, 175 f., 180 f.), widerspricht allerdings der dargelegten Grundkonzeption wie auch dem Wortlaut von Art. 44 Abs. 1 KVG . Jedenfalls kann ein solcher Tarifschutz nicht bedeuten, dass sämtliche Tarifbestimmungen des KVG auf derartige Vergütungen anwendbar wären. Namentlich können die Leistungserbringer für Wahlbehandlungen ausserkantonaler Patienten in Abweichung von Art. 49 Abs. 1 KVG eine Vollkostendeckung verlangen, weil die kantonale Leistung im Sinne von Art. 49 KVG entfällt (Eugster, Krankenversicherung, in Meyer, SBVR Soziale Sicherheit, 2. A., S. 692 f. Rz. 874; Meyer, a.a.O. [2004], S. 537; Meyer, a.a.O. [2006], S. 14 Rz. 30; Martin Brunnschweiler, Aktuelle Rechtsprobleme der Tarifgestaltung in öffentlichen und öffentlich subventionierten Spitälern, in: Thomas Gächter [Hrsg.], Spitalfinanzierung, Jusletter, 16. Mai 2005, Rz. 24; Thomas Mattig, Die ausserkantonale Hospitalisation als Chance für die Leistungserbringer? in: Gächter a.a.O. [2006], S. 113 ff., 121 f.) Die Rechtsprechung geht davon aus, dass auch in diesen Fällen die Vergütung nach dem "Tarif des Standortkantons" verrechnet wird, aber insoweit der Tarifschutz vermindert sei, als (für die Leistungspflicht des Grundversicherers) stets nur der Tarif im Wohnkanton der versicherten Person anwendbar sei ( BGE 127 V 398 E. 2b/dd S. 406, 125 V 448 E. 3a S. 453; vgl. auch BGE 123 V 290 E. 6c/bb S. 306). Der Tarifschutz in Bezug auf die diesen Betrag übersteigende Vergütung besteht insoweit höchstens darin, dass die Kantonsregierung gemäss Art. 47 Abs. 2 KVG einen Tarif festsetzt (BBl 1992 I 176, 180 f.) und dabei die allgemeinen Grundsätze des Tarifrechts (namentlich Art. 43 Abs. 4 Satz 2 sowie Abs. 6 KVG ) beachten muss, im Übrigen aber frei ist (Eugster, a.a.O., S. 692 f. Rz. 874, S. 721 f. Rz. 956, S. 729 f. Rz. 979; Eugster, Die Unterscheidung zwischen grund- und zusatzversicherten Leistungen im Spitalbereich: Welche juristischen Kriterien sind massgeblich? SZS 2005 S. 445 ff., 453; Alfred Maurer, Das neue Krankenversicherungsgesetz, Basel 1996, S. 72, 86; Meyer, a.a.O. [2004], S. 537, 542 f.; Poledna/Berger, Öffentliches Gesundheitsrecht, Bern 2002, S. 281).</w:t>
      </w:r>
    </w:p>
    <w:p>
      <w:r>
        <w:rPr>
          <w:b/>
        </w:rPr>
        <w:t>E. 2.6</w:t>
      </w:r>
    </w:p>
    <w:p>
      <w:r>
        <w:t>Wie weit im Einzelnen die Tarifbestimmungen des KVG auf die hier streitigen Leistungen anwendbar sind, kann offen bleiben. Denn jedenfalls kann in Fällen wie dem vorliegenden nicht von einer Streitigkeit im Sinne von Art. 89 KVG die Rede sein, weil weder ein Versicherer in seiner Eigenschaft als Grundversicherer noch ein Patient in seiner Eigenschaft als obligatorisch Krankenpflegeversicherter beteiligt ist. Handelt es sich beim Leistungserbringer um eine privatrechtliche Person, so sind sowohl das Verhältnis zwischen dem Leistungserbringer und dem Patienten als auch dasjenige zwischen dem Patienten und dem allenfalls zahlungspflichtigen Zusatzversicherer privatrechtliche Verhältnisse ( BGE 127 III 421 E. 1c [nicht publ.] und d S. 422 f.; BGE 132 V 352 , nicht publ. E. 2.7). Ist der Leistungserbringer - wie hier - eine öffentlich-rechtliche Person des kantonalen Rechts, so ist das Verhältnis zwischen Leistungserbringer und Patient dem öffentlichen Recht (inklusive Verfahrensrecht) dieses Kantons unterstellt (Urteil 9C.152/2007 vom 19. Oktober 2007, E. 2.4), während das Verhältnis zwischen Patient und Zusatzversicherer auch hier zivilrechtlich ist. So oder so liegt keine Streitigkeit nach Art. 89 KVG vor.</w:t>
      </w:r>
    </w:p>
    <w:p>
      <w:r>
        <w:rPr>
          <w:b/>
        </w:rPr>
        <w:t>E. 2.7</w:t>
      </w:r>
    </w:p>
    <w:p>
      <w:r>
        <w:t>Nicht im Gegensatz zum bisher Ausgeführten hat das Eidgenössische Versicherungsgericht im Urteil K 92/01 vom 27. Dezember 2001, auf welches sich die Beschwerdeführerinnen im vorinstanzlichen Verfahren berufen haben, erkannt (ebenfalls in einem Fall einer ausserkantonalen Wahlbehandlung), das Schiedsgericht sei zuständig, wenn der anwendbare Tarif des ausserkantonalen Leistungserbringers umstritten sei (ebenso, gestützt auf dieses Urteil, Meyer, a.a.O., [2004], S. 545; Moser, a.a.O., S. 24 Fn. 24). Es hat dies indes wie folgt begründet:</w:t>
      </w:r>
    </w:p>
    <w:p>
      <w:r>
        <w:t>"Dès lors que la recourante met en cause le montant de la facture de l'Hôpital X. à raison de la protection tarifaire ou de ce qui en tient lieu, à défaut de convention, dans le régime obligatoire, cette question touche à la position particulière du fournisseur de soins dans le cadre de la LAMal et, comme telle, peut être soumise au tribunal arbitral" (E. 4).</w:t>
      </w:r>
    </w:p>
    <w:p>
      <w:r>
        <w:t>Aus dieser Begründung ist ersichtlich, dass sie nur für das "régime obligatoire" anwendbar ist; in jenem Fall war der Tarif des Wohnkantons nicht aktenkundig, so dass nicht auszuschliessen war, dass die Krankenkasse auch in ihrer Eigenschaft als Grundversichererin betroffen sein würde (sofern nämlich der massgebliche Tarif des Wohnkantons mindestens so hoch wäre wie der in Frage kommende Tarif des Standortkantons des Leistungserbringers). Hingegen kann aus diesem Entscheid nicht abgeleitet werden, dass das Schiedsgericht auch zuständig wäre, wenn - wie das hier der Fall ist - klar ist, dass eine Leistung aus Grundversicherung überhaupt nicht zur Diskussion steht.</w:t>
      </w:r>
    </w:p>
    <w:p>
      <w:r>
        <w:rPr>
          <w:b/>
        </w:rPr>
        <w:t>E. 2.8</w:t>
      </w:r>
    </w:p>
    <w:p>
      <w:r>
        <w:t>Entgegen der offenbaren Auffassung der Beschwerdeführerinnen bedeutet die fehlende Zuständigkeit des Schiedsgerichts nicht, dass die Patienten schutzlos einer überhöhten Kostenforderung ausgeliefert wären. Soweit die Tarifgrundsätze des KVG materiell-rechtlich auch in diesen Verhältnissen anwendbar sind (vorne E. 2.5), kann ihre Einhaltung vorfrageweise auch in den massgebenden Verfahren des Privatrechts bzw. der ordentlichen Verwaltungsrechtspflege überprüft werden ( BGE 123 V 324 nicht publ. E. 3e; Urteil K 59/02 vom 12. November 2002, E. 1.2), ohne dass die Streitsache dadurch zu einer solchen des Sozialversicherungsrechts würde (vgl. BGE 124 III 44 E. 1a/bb S. 46 f., 123 V 324 E. 3b S. 328 f.). In öffentlich-rechtlichen Verhältnissen ergibt sich zudem ein Schutz vor überhöhten Forderungen des Leistungserbringers schon aus den allgemeinen gebührenrechtlichen Grundsätzen (Legalitätsprinzip, Kostendeckungsprinzip, Äquivalenzprinzip), welche im Verfahren der ordentlichen Verwaltungsrechtspflege überprüfbar sind (vgl. BGE 129 I 346 E. 5 S. 353 f. betreffend einen Beitrag an Investitionskosten von Pflegeheimen, welcher nicht dem Tarifschutz gemäss KVG untersteht).</w:t>
      </w:r>
    </w:p>
    <w:p>
      <w:r>
        <w:rPr>
          <w:b/>
        </w:rPr>
        <w:t>E. 2.9</w:t>
      </w:r>
    </w:p>
    <w:p>
      <w:r>
        <w:t>Der angefochtene Nichteintretensentscheid ist im Ergebnis richtig, weil die Vorinstanz für den in der Klage behaupteten Anspruch sachlich nicht zuständig ist. Ob bei gegebener Zuständigkeit ein Feststellungsinteresse bestünde, kann offen bleiben.</w:t>
      </w:r>
    </w:p>
    <w:p>
      <w:r>
        <w:rPr>
          <w:b/>
        </w:rPr>
        <w:t>E. 3</w:t>
      </w:r>
    </w:p>
    <w:p>
      <w:r>
        <w:t>Weil nach dem Gesagten keine KVG-Streitigkeit zur Diskussion steht, kann die Helsana nicht ohne Vollmacht die Beschwerdeführerin A. ________ vertreten (vgl. E. 1). Diese hat daher gar keine Beschwerde erhoben und trägt keine Kosten. Sie sind der Helsana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