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201/2008 vom 9. Juni 2008</w:t>
      </w:r>
    </w:p>
    <w:p>
      <w:r>
        <w:t>Bundesgericht, 2008-06-09, FR</w:t>
      </w:r>
    </w:p>
    <w:p>
      <w:r>
        <w:rPr>
          <w:b/>
        </w:rPr>
        <w:t xml:space="preserve">Quelle: </w:t>
      </w:r>
      <w:r>
        <w:t>https://mcp.opencaselaw.ch/entscheid/bger_9C_201_2008</w:t>
      </w:r>
    </w:p>
    <w:p>
      <w:r>
        <w:t>FR: TF 9C 201/2008 du 9 juin 2008</w:t>
      </w:r>
    </w:p>
    <w:p>
      <w:r>
        <w:t>IT: TF 9C 201/2008 del 9 giugno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rejeter un recours en adoptant une autre argumentation que celle de l'autorité précédente ( ATF 130 III 136 consid. 1.4 p. 140). Il ne peut aller au-delà des conclusions des parties ( art. 107 al. 1 LTF ). Eu égard à l'exigence de motivation prévue à l' art. 42 al. 2 LTF , il n'examine, en principe,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2</w:t>
      </w:r>
    </w:p>
    <w:p>
      <w:r>
        <w:t>L'office recourant invoque la violation de l' art. 28 al. 1 LAI dans la mesure où les conclusions du docteur U.________, sur lesquelles la juridiction cantonale affirme avoir fondé le jugement attaqué, ne sauraient conduire à l'octroi d'une rente supérieure à un quart. En l'occurrence, l'expert psychiatre a effectivement retenu une incapacité de travail de 40 % dans l'exercice de toute activité, y compris dans l'ancienne profession, depuis le mois d'octobre 2002 due aux troubles psychiques diagnostiqués. Contrairement à ce que soutient l'intimé, il n'a jamais laissé entendre que le trouble somatoforme douloureux observé puisse entraîner un taux d'incapacité plus important. Au contraire, il jugeait ce fait comme peu probable (sur le degré de vraisemblance de la preuve en matière d'assurances sociales, cf. ATF 126 V 353 consid. 5b p. 360 sv.). Un tel taux d'incapacité de travail dans l'activité habituelle correspond ainsi à un taux identique d'incapacité de gain. Il apparaît dès lors que les premiers juges ont violé le droit fédéral en reconnaissant à l'intéressé un degré d'invalidité de 60 % ouvrant droit à une demi-rente pour la période allant du 1er octobre au 31 décembre 2003, puis à trois quarts de rente. Ceux-ci ont du reste admis leur erreur. Il convient donc de retenir un taux d'invalidité de 40 % équivalant à un quart de rente et de réformer le jugement entrepris au sens de ce qui précède. La requête d'effet suspensif n'a par ailleurs plus d'objet.</w:t>
      </w:r>
    </w:p>
    <w:p>
      <w:r>
        <w:rPr>
          <w:b/>
        </w:rPr>
        <w:t>E. 3</w:t>
      </w:r>
    </w:p>
    <w:p>
      <w:r>
        <w:t>La procédure est onéreuse ( art. 62 LTF ). L'intimé, qui succombe, doit en supporter les frais ( art. 66 al. 1 LTF ). Représenté par un avocat, il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