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201/2007 vom 29. Januar 2008</w:t>
      </w:r>
    </w:p>
    <w:p>
      <w:r>
        <w:t>Bundesgericht, 2008-01-29, FR</w:t>
      </w:r>
    </w:p>
    <w:p>
      <w:r>
        <w:rPr>
          <w:b/>
        </w:rPr>
        <w:t xml:space="preserve">Quelle: </w:t>
      </w:r>
      <w:r>
        <w:t>https://mcp.opencaselaw.ch/entscheid/bger_9C_201_2007</w:t>
      </w:r>
    </w:p>
    <w:p>
      <w:r>
        <w:t>FR: TF 9C 201/2007 du 29 janvier 2008</w:t>
      </w:r>
    </w:p>
    <w:p>
      <w:r>
        <w:t>IT: TF 9C 201/2007 del 29 gennaio 2008</w:t>
      </w:r>
    </w:p>
    <w:p>
      <w:pPr>
        <w:pStyle w:val="Heading2"/>
      </w:pPr>
      <w:r>
        <w:t>Regeste</w:t>
      </w:r>
    </w:p>
    <w:p>
      <w:r>
        <w:t>Assurance-invalidité | Assurance-invalidité</w:t>
      </w:r>
    </w:p>
    <w:p>
      <w:pPr>
        <w:pStyle w:val="Heading2"/>
      </w:pPr>
      <w:r>
        <w:t>Erwägungen</w:t>
      </w:r>
    </w:p>
    <w:p>
      <w:r>
        <w:rPr>
          <w:b/>
        </w:rPr>
        <w:t>E. 1.1</w:t>
      </w:r>
    </w:p>
    <w:p>
      <w:r>
        <w:t>Le recours en matière de droit public ( art. 88 ss LTF ) peut être formé pour violation du droit selon les 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1.3</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jugement entrepris expose correctement les dispositions légales et la jurisprudence applicables en matière d'évaluation de l'invalidité, de sorte qu'il suffit d'y renvoyer.</w:t>
      </w:r>
    </w:p>
    <w:p>
      <w:r>
        <w:rPr>
          <w:b/>
        </w:rPr>
        <w:t>E. 3.1</w:t>
      </w:r>
    </w:p>
    <w:p>
      <w:r>
        <w:t>Se fondant sur les conclusions du rapport du Centre Y._______, le Tribunal cantonal des assurances sociales a retenu que la recourante présentait, compte tenu de toutes les affections physiques et psychiques dont elle était atteinte, une capacité de travail de 75 % dans son activité actuelle et même de 100 % en tant que coiffeuse dans un salon traditionnel. Il a estimé que les points de vue du médecin traitant, le docteur O._______, et de l'employeur, dans la mesure où ils contestaient que la recourante puisse travailler à un taux supérieur à 50 %, n'étaient pas de nature à mettre en doute les conclusions de l'expertise judiciaire. La recourante n'avait par ailleurs pas mis en évidence de contradictions ressortant de l'expertise ou fait état d'avis d'autres spécialistes justifiant de s'en écarter. Dans la mesure où la perte de gain n'était pas supérieure à 25 % dans son activité actuelle, la recourante ne pouvait prétendre à une rente d'invalidité.</w:t>
      </w:r>
    </w:p>
    <w:p>
      <w:r>
        <w:rPr>
          <w:b/>
        </w:rPr>
        <w:t>E. 3.2</w:t>
      </w:r>
    </w:p>
    <w:p>
      <w:r>
        <w:t>Les griefs avancés par la recourante ne mettent en évidence aucune irrégularité dans la constatation et l'établissement des faits. Les reproches soulevés contre la valeur probante de l'expertise du Centre Y._______ ne justifient pas que l'on s'en écarte. Comme l'ont souligné les premiers juges, celle-ci remplit toutes les exigences formelles auxquelles la jurisprudence soumet la valeur probante d'un tel document ( ATF 125 V 351 consid. 3a p. 352). Les conclusions rendues par le collège d'experts résultent d'une analyse complète de la situation médicale - objective et subjective -, portant aussi bien sur les aspects somatiques que psychiques des troubles allégués. Elles sont étayées par les résultats des examens spécialisés auxquels s'est soumise la recourante (en neurologie, rhumatologie, angiologie et psychiatrie) et examinent, quoi qu'en dise la recourante, l'interaction des différentes atteintes à la santé et leur influence sur la capacité de travail. Aux conclusions de l'expertise multidisciplinaire, la recourante oppose le degré de capacité de travail retenu par son médecin traitant, le docteur O._______ et les considérations développées par son employeur au cours de la procédure cantonale. Cela étant, les arguments avancés par la recourante ne permettent pas d'expliquer en quoi le point de vue de son médecin traitant ou de son employeur serait objectivement mieux fondé que celui des experts du Centre Y._______ et justifierait de retenir un degré de capacité de travail de 50 %. Ainsi, il ne suffit pas de prétendre que le docteur O._______ suit la recourante depuis de nombreuses années et qu'il est ainsi mieux placé pour se prononcer sur le cas pour établir que les conclusions de l'expertise seraient arbitraires. Au vu de la divergence consacrée par la jurisprudence entre un mandat thérapeutique et un mandat d'expertise ( ATF 124 I 170 consid. 4 p. 175; arrêt I 113/06 du 7 mars 2007 consid. 4.4 et les arrêts cités), on ne saurait remettre en cause une expertise ordonnée par l'administration ou un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Or tel n'est pas le cas en l'espèce, puisque la recourante ne s'en prend qu'aux conclusions de l'expertise - qu'elle juge insoutenables au regard du nombre d'atteintes à la santé relevées par les experts -, sans faire état d'éléments cliniques ou diagnostiques qui n'auraient pas été pris en compte par les experts du Centre Y._______ ou de contradictions manifestes justifiant que l'on s'écarte desdites conclusions. Les observations rapportées par l'employeur de la recourante, de même que le bref rapport établi le 18 avril 2007 par le docteur B._______, indépendamment du fait que ce dernier constitue une preuve nouvelle en principe irrecevable ( art. 99 al. 1 LTF ), ne sont pas de nature non plus à infirmer le résultat de l'expertise.</w:t>
      </w:r>
    </w:p>
    <w:p>
      <w:r>
        <w:rPr>
          <w:b/>
        </w:rPr>
        <w:t>E. 4</w:t>
      </w:r>
    </w:p>
    <w:p>
      <w:r>
        <w:t>Manifestement mal fondé, le recours doit être rejeté selon la procédure simplifiée de l' art. 109 al. 2 let. a LTF , sans qu'il y ait lieu d'ordonner un échange d'écritures. La recourante, qui succombe, supportera les frais judiciaires afférent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