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9C_200/2018 vom 17. Dezember 2018</w:t>
      </w:r>
    </w:p>
    <w:p>
      <w:r>
        <w:t>Bundesgericht, 2018-12-17, DE</w:t>
      </w:r>
    </w:p>
    <w:p>
      <w:r>
        <w:rPr>
          <w:b/>
        </w:rPr>
        <w:t xml:space="preserve">Quelle: </w:t>
      </w:r>
      <w:r>
        <w:t>https://mcp.opencaselaw.ch/entscheid/bger_9C_200_2018</w:t>
      </w:r>
    </w:p>
    <w:p>
      <w:r>
        <w:t>FR: TF 9C_200/2018 du 17 décembre 2018</w:t>
      </w:r>
    </w:p>
    <w:p>
      <w:r>
        <w:t>IT: TF 9C_200/2018 del 17 dicembre 2018</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142 V 551 E. 5 S. 559 f.).</w:t>
      </w:r>
    </w:p>
    <w:p>
      <w:r>
        <w:rPr>
          <w:b/>
        </w:rPr>
        <w:t>E. 2</w:t>
      </w:r>
    </w:p>
    <w:p>
      <w:r>
        <w:t>Streitig und zu prüfen ist, ob die Vorinstanz Bundesrecht verletzte, indem sie den Einspracheentscheid der Beschwerdegegnerin vom 27. Juli 2015 bestätigt und damit eine Leistungspflicht des Krankenversicherers für nichtmedizinische Pflege zu Hause (Grundpflege) der Beschwerdeführerin verneint hat.</w:t>
      </w:r>
    </w:p>
    <w:p>
      <w:r>
        <w:rPr>
          <w:b/>
        </w:rPr>
        <w:t>E. 3.1</w:t>
      </w:r>
    </w:p>
    <w:p>
      <w:r>
        <w:t>In Bezug auf die massgeblichen rechtlichen Grundlagen ist zunächst darauf hinzuweisen, dass sich der Sachverhalt gestützt auf die im Zeitpunkt des Erlasses des Einspracheentscheids der Beschwerdegegnerin vom 27. Juli 2015 in Kraft stehenden Bestimmungen beurteilt.</w:t>
      </w:r>
    </w:p>
    <w:p>
      <w:r>
        <w:rPr>
          <w:b/>
        </w:rPr>
        <w:t>E. 3.2.1</w:t>
      </w:r>
    </w:p>
    <w:p>
      <w:r>
        <w:t>Wie im angefochtenen Entscheid unter Hinweis auf BGE 116 V 41 E. 5a S. 47 zutreffend erwogen wurde, ist der Begriff der Hauspflege vielschichtig. Er umfasst zunächst die - weder ambulant noch in einem Spital, sondern eben zu Hause applizierten - Heilanwendungen mit therapeutischer Zielrichtung, die von einem Arzt oder einer Ärztin vollzogen oder angeordnet werden. Hauspflege ist aber auch die zu Hause stattfindende medizinische Pflege im Sinne der Krankenpflege, der zwar das therapeutische (heilende) Agens fehlt, die aber für die Aufrechterhaltung des Gesundheitszustands doch unerlässlich ist. Das trifft insbesondere auf medizinische Vorkehren im Sinne von Art. 21 Abs. 1 lit. d UVG zu (Pflegeleistungen und Kostenvergütungen an einen UVG-Rentenbezüger, wenn dieser erwerbsunfähig ist und sein Gesundheitszustand u.a. vor wesentlicher Beeinträchtigung bewahrt werden kann), welche lebensnotwendige organische Funktionen ermöglichen, unterstützen, sichern oder gleichsam ersetzen. Eine dritte Form von Hauspflege ist die nichtmedizinische Pflege, sei es an der betroffenen Person selber in Form von Hilfeleistungen bei den alltäglichen Lebensverrichtungen, sei es als Hilfestellungen in ihrer Umgebung durch Führung des Haushalts oder Besorgung der alltäglichen Angelegenheiten.</w:t>
      </w:r>
    </w:p>
    <w:p>
      <w:r>
        <w:rPr>
          <w:b/>
        </w:rPr>
        <w:t>E. 3.2.2</w:t>
      </w:r>
    </w:p>
    <w:p>
      <w:r>
        <w:t>Die einzelnen Sozialversicherer haben, sofern in ihren Bereichen überhaupt eine entsprechende gesetzliche Grundlage besteht, unter dem Titel der Hauspflege nicht für die Gesamtheit dieser Massnahmen aufzukommen, sondern nur so weit, als für die verschiedenen Formen der Hauspflege eine Leistungspflicht gesetzlich oder verordnungsmässig normiert ist ( BGE 116 V 41 E. 5b S. 47 f.).</w:t>
      </w:r>
    </w:p>
    <w:p>
      <w:r>
        <w:rPr>
          <w:b/>
        </w:rPr>
        <w:t>E. 3.3.1</w:t>
      </w:r>
    </w:p>
    <w:p>
      <w:r>
        <w:t>Im Bereich der Unfallversicherung hat der Bundesrat gestützt auf aArt. 10 Abs. 3 Satz 2 UVG (in der bis 31. Dezember 2016 gültig gewesenen Fassung) die Leistungspflicht der Versicherer für Hauspflege (nunmehr - seit 1. Januar 2017 -: Hilfe und Pflege zu Hause) ausdrücklich geregelt. Gemäss aArt. 18 Abs. 1 UVV (in der bis 31. Dezember 2016 in Kraft gestandenen Fassung) hat die versicherte Person Anspruch auf eine ärztlich angeordnete Hauspflege, sofern diese durch eine nach den Art. 49 und 51 KVV zugelassene Person oder Organisation durchgeführt wird. Aus der Voraussetzung der ärztlichen Anordnung ist zu schliessen, dass die Leistungspflicht auf Heilbehandlung und medizinische Pflege beschränkt sein soll. Denn von ärztlicher Anordnung kann sinnvollerweise nur bei Vorkehren medizinischen Charakters gesprochen werden; nichtmedizinische Betreuung bedarf ihrer Natur nach keiner ärztlichen Anordnung. Diese Einschränkung ist angesichts des weiten Gestaltungsspielraums nach aArt. 10 Abs. 3 Satz 2 UVG nicht zu beanstanden. Anderseits ist das Erfordernis der ärztlichen Anordnung nicht in einem streng formellen Sinne zu verstehen. Es genügt vielmehr, dass die fraglichen medizinischen Vorkehren, die zu Hause durchgeführt werden, nach der Aktenlage medizinisch indiziert sind ( BGE 116 V 41 E. 5c S. 48). Es sind somit Leistungen der Pflege zu Hause abzugrenzen von der nichtmedizinischen Pflege im Sinne von Hilfeleistungen bei alltäglichen Lebensverrichtungen, Führung des Haushalts, Besorgung der alltäglichen Angelegenheiten usw., die von der Unfallversicherung nicht übernommen werden müssen (dazu BGE 116 V 41 E. 5a am Ende S. 47; vgl. auch Alexandra Rumo Jungo/André Pierre Holzer, Rechtsprechung des Bundesgerichts zum Sozialversicherungsrecht, UVG, 4. Aufl. 2012, S. 103; Kaspar Gehring, KVG/UVG, Kommentar, 2018, Rz. 20 zu Art. 10 UVG ; Hardy Landolt, Behandlungspflege - medizinische Pflege - Grundpflege: ein Abgrenzungsversuch, in: Pflegerecht 2014, S. 27 ff., insb. 32).</w:t>
      </w:r>
    </w:p>
    <w:p>
      <w:r>
        <w:rPr>
          <w:b/>
        </w:rPr>
        <w:t>E. 3.3.2</w:t>
      </w:r>
    </w:p>
    <w:p>
      <w:r>
        <w:t>Seit 1. Januar 2017 besteht gemäss Art. 18 Abs. 2 lit. b UVV neu auch eine Leistungspflicht der Unfallversicherung für die Kosten der nichtmedizinischen Hilfe zu Hause, soweit diese nicht durch die Hilflosenentschädigung nach Art. 26 UVG abgegolten ist (vgl. auch Gehring, a.a.O., Rz. 23 zu Art. 10 UVG ). Diese Bestimmung ist aber, wie hiervor dargelegt, auf den vorliegend zu beurteilenden Sachverhalt nicht anwendbar (E. 3.1 hiervor).</w:t>
      </w:r>
    </w:p>
    <w:p>
      <w:r>
        <w:rPr>
          <w:b/>
        </w:rPr>
        <w:t>E. 4.1</w:t>
      </w:r>
    </w:p>
    <w:p>
      <w:r>
        <w:t>Unbestrittenermassen richtet der Unfallversicherer der Beschwerdeführerin seit 1. November 2014 eine Hilflosenentschädigung aufgrund einer Hilflosigkeit schweren Grades und seit 1. Dezember 2015 eine Invalidenrente aus; ferner gewährt er medizinische Hauspflege im Sinne der Behandlungspflege gemäss aArt. 18 Abs. 1 UVV sowie - seit Rentenausrichtung - Pflegeleistungen und Kostenvergütungen gestützt auf Art. 21 Abs. 1 lit. d UVG .</w:t>
      </w:r>
    </w:p>
    <w:p>
      <w:r>
        <w:t>Keine Leistungspflicht trifft ihn nach dem Ausgeführten jedoch, jedenfalls für die Zeit bis Ende 2016, für die in casu im Streite stehende Grundpflege nichtmedizinischer Art.</w:t>
      </w:r>
    </w:p>
    <w:p>
      <w:r>
        <w:rPr>
          <w:b/>
        </w:rPr>
        <w:t>E. 4.2</w:t>
      </w:r>
    </w:p>
    <w:p>
      <w:r>
        <w:t>An dieser Schlussfolgerung ändert der im angefochtenen Entscheid zitierte BGE 116 V 41 nichts. Die darin enthaltene Feststellung - auf welche die Vorinstanz ihre Inpflichtnahme des Unfallversicherers stützt -, wonach neben einer Hilflosenentschädigung durchaus Raum bleibe für eine zusätzliche Vergütung von (Haus-) Pflegeleistungen im Rahmen von aArt. 18 Abs. 1 UVV (E. 6c S. 49), bezieht sich klar auf entsprechende medizinisch indizierte Vorkehren. Wie dem Urteil zu entnehmen ist, ging es damals denn auch nur um derartige pflegerische Massnahmen (vgl. E. 5c am Ende S. 48).</w:t>
      </w:r>
    </w:p>
    <w:p>
      <w:r>
        <w:rPr>
          <w:b/>
        </w:rPr>
        <w:t>E. 5</w:t>
      </w:r>
    </w:p>
    <w:p>
      <w:r>
        <w:t>Das kantonale Gericht hat zwar die rechtlichen Grundlagen zur Pflicht des obligatorischen Krankenpflegeversicherers, Beiträge an Pflegeleistungen zu erbringen, aufgeführt. Wie es sich damit im hier zu beurteilenden Fall für den im Streit liegenden Zeitraum bis Ende 2016 verhält, geht daraus indessen nicht hervor. Da der vorinstanzliche Entscheid somit Bundesrecht verletzt, ist er aufzuheben. Die Sache ist an die Vorinstanz zurückzuweisen, damit sie sich zu diesem Punkt mit Blick auf die konkret fraglichen Pflegeleistungen äussert.</w:t>
      </w:r>
    </w:p>
    <w:p>
      <w:r>
        <w:rPr>
          <w:b/>
        </w:rPr>
        <w:t>E. 6.1</w:t>
      </w:r>
    </w:p>
    <w:p>
      <w:r>
        <w:t>Die Rückweisung der Sache an den Versicherungsträger oder die Vorinstanz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u.a. Urteil 8C_279/2015 vom 27. August 2015 E. 4.1 mit Hinweisen).</w:t>
      </w:r>
    </w:p>
    <w:p>
      <w:r>
        <w:rPr>
          <w:b/>
        </w:rPr>
        <w:t>E. 6.2</w:t>
      </w:r>
    </w:p>
    <w:p>
      <w:r>
        <w:t>Demgemäss sind die Gerichtskosten der Beschwerdegegnerin zu überbinden. Diese hat der anwaltlich vertretenen Beschwerdeführerin ferner eine Parteientschädigung auszurichten. Der ebenfalls obsiegende beigeladene Unfallversicherer hat demgegenüber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