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9C_200/2013 vom 9. Oktober 2013</w:t>
      </w:r>
    </w:p>
    <w:p>
      <w:r>
        <w:t>Bundesgericht, 2013-10-09, FR</w:t>
      </w:r>
    </w:p>
    <w:p>
      <w:r>
        <w:rPr>
          <w:b/>
        </w:rPr>
        <w:t xml:space="preserve">Quelle: </w:t>
      </w:r>
      <w:r>
        <w:t>https://mcp.opencaselaw.ch/entscheid/bger_9C_200_2013</w:t>
      </w:r>
    </w:p>
    <w:p>
      <w:r>
        <w:t>FR: TF 9C_200/2013 du 9 octobre 2013</w:t>
      </w:r>
    </w:p>
    <w:p>
      <w:r>
        <w:t>IT: TF 9C_200/2013 del 9 ottobre 2013</w:t>
      </w:r>
    </w:p>
    <w:p>
      <w:pPr>
        <w:pStyle w:val="Heading2"/>
      </w:pPr>
      <w:r>
        <w:t>Erwägungen</w:t>
      </w:r>
    </w:p>
    <w:p>
      <w:r>
        <w:rPr>
          <w:b/>
        </w:rPr>
        <w:t>E. 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135 II 145 consid 8.1 p. 153) - ou en violation du droit au sens de l' art. 95 LTF ( art. 105 al. 2 LTF ). La violation peut consister en un état de fait incomplet, car l'autorité précédente viole le droit matériel en n'établissant pas tous les faits pertinents pour l'application de celui-ci ( ATF 134 V 53 consid. 4.3 p. 62).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w:t>
      </w:r>
    </w:p>
    <w:p>
      <w:r>
        <w:rPr>
          <w:b/>
        </w:rPr>
        <w:t>E. 2.1</w:t>
      </w:r>
    </w:p>
    <w:p>
      <w:r>
        <w:t>En instance fédérale, compte tenu des conclusions du recours et du dispositif du jugement entrepris, le litige porte sur l'obligation du recourant de restituer la somme de 96'954 fr. au titre de prestations indûment touchées pendant la période du 1er janvier 2004 au 30 avril 2006.</w:t>
      </w:r>
    </w:p>
    <w:p>
      <w:r>
        <w:rPr>
          <w:b/>
        </w:rPr>
        <w:t>E. 2.2</w:t>
      </w:r>
    </w:p>
    <w:p>
      <w:r>
        <w:t>Le jugement entrepris expose correctement les dispositions légales et réglementaires relatives à la restitution des prestations (en particulier les art. 35a LPP et 7.6 du Règlement de la Fondation de prévoyance Z.________), ainsi que la jurisprudence applicable en l'espèce, si bien qu'il suffit d'y renvoyer.</w:t>
      </w:r>
    </w:p>
    <w:p>
      <w:r>
        <w:rPr>
          <w:b/>
        </w:rPr>
        <w:t>E. 3</w:t>
      </w:r>
    </w:p>
    <w:p>
      <w:r>
        <w:t>Le recourant critique en premier lieu la solution retenue par le Tribunal fédéral dans son arrêt 9C_611/2010 du 15 septembre 2010 en ce qui concerne la question de la prescription de la créance en restitution des prestations indûment perçues pour la période du 1er janvier 2004 au 30 avril 2006, en particulier le point de départ du délai de prescription/ péremption de l' art. 35a al. 2 LPP . La question de la péremption/ prescription de la créance litigieuse a déjà été jugée par le Tribunal fédéral, de sorte qu'il n'y a pas lieu d'y revenir. En effet, selon l' art. 61 LTF , les arrêts du Tribunal fédéral entrent en force dès leur prononcé. Cela signifie qu'ils sont définitifs. Ils lient non seulement la juridiction cantonale et les parties, mais également le Tribunal fédéral saisi d'un recours contre la nouvelle décision rendue par l'autorité précédente à la suite d'un arrêt de renvoi, comme en l'espèce (cf. ATF 125 III 421 consid. 2a). Dans la mesure où le recourant ne fait valoir aucun motif de révision au sens des art. 121 et 123 LTF , sa demande de réexamen doit être rejetée.</w:t>
      </w:r>
    </w:p>
    <w:p>
      <w:r>
        <w:rPr>
          <w:b/>
        </w:rPr>
        <w:t>E. 4.1</w:t>
      </w:r>
    </w:p>
    <w:p>
      <w:r>
        <w:t>Les premiers juges ont retenu que les prestations d'invalidité dont l'intimée réclame la restitution avaient été versées à tort compte tenu de l'amélioration progressive du taux d'invalidité de l'assuré pendant la période litigieuse.</w:t>
      </w:r>
    </w:p>
    <w:p>
      <w:r>
        <w:t>Le recourant conteste ce point de vue. Il reproche aux premiers juges d'avoir interprété de façon trop large la notion de prestations indûment touchées au sens de l' art. 35a al. 1 LPP . Il invoque notamment le fait que l'office AI n'a procédé à aucune suppression rétroactive comme l'y autorise pourtant l' art. 88bis al. 2 let. b RAI .</w:t>
      </w:r>
    </w:p>
    <w:p>
      <w:r>
        <w:rPr>
          <w:b/>
        </w:rPr>
        <w:t>E. 4.2</w:t>
      </w:r>
    </w:p>
    <w:p>
      <w:r>
        <w:t>En l'occurrence, compte tenu de l'amélioration du taux d'invalidité de l'assuré pendant la période du 1er janvier 2004 au 30 avril 2006 telle qu'elle a été évaluée par l'intimée et qui n'est pas contestée par le recourant, il n'y a pas lieu de s'écarter des constatations des premiers juges selon lesquelles les prestations dont l'intimée sollicite la restitution ont été versées indûment. Contrairement à ce que semble croire le recourant, le fait que l'office AI n'a pas pu supprimer la rente d'invalidité avec effet rétroactif faute de violation du devoir d'information à son égard ne remet pas en cause le caractère indu des montants perçus durant la période litigieuse (cf. pour comparaison l'arrêt 9C_1040/2012 du 30 avril 2013 consid. 5.2). Le recourant reproche également à l'intimée d'avoir procédé elle-même à l'évaluation de l'invalidité. Sur ce point, il convient de renvoyer le recourant au jugement entrepris qui expose correctement les raisons pour lesquelles l'institution de prévoyance était légitimée à effectuer cette appréciation. Le fait de permettre à l'institution de prévoyance d'attendre qu'une décision soit rendue dans la procédure de révision de l'assurance-invalidité avant de faire courir le délai de prescription/ péremption pour réclamer les prestations indûment touchées - comme l'a retenu le Tribunal fédéral dans son arrêt 9C_611/2010 (déjà cité) - ne signifie pas pour autant que l'institution de prévoyance ne devra pas dans certains cas procéder de son propre chef à l'évaluation du degré d'invalidité.</w:t>
      </w:r>
    </w:p>
    <w:p>
      <w:r>
        <w:rPr>
          <w:b/>
        </w:rPr>
        <w:t>E. 4.3</w:t>
      </w:r>
    </w:p>
    <w:p>
      <w:r>
        <w:t>En ce qui concerne les conditions liées à une éventuelle remise de l'obligation de restituer, les premiers juges ont retenu que le recourant avait commis une négligence grave excluant toute bonne foi en omettant de communiquer directement à l'intimée la reprise d'une activité lucrative en qualité de psychiatre indépendant, tout en continuant à percevoir des prestations de la prévoyance professionnelle. Quoi qu'en dise le recourant, les premiers juges n'ont pas violé le droit fédéral en concluant à l'absence de bonne foi et leur appréciation de la situation qui les a conduits à retenir une négligence grave n'apparaît pas arbitraire ou autrement contraire au droit. Le fait d'avoir informé l'office AI de la reprise d'une activité lucrative ne dispensait pas le recourant de son devoir de renseigner également l'intimée à ce sujet. Il ne pouvait pas non plus partir de l'idée que les deux organismes communiquaient entre eux et que cet élément le libérait de son devoir d'information à l'égard de la fondation de prévoyance. Comme l'ont retenu à juste titre les premiers juges, le recourant avait été rendu attentif au fait qu'il devait immédiatement signaler à l'intimée toute modification de son degré d'invalidité qui surviendrait d'ici à la prochaine révision de la rente versée par l'assurance-invalidité (cf. communication du 30 août 2002). Contrairement à ce qu'il soutient, l'intimée n'était pas tenue de lui rappeler régulièrement son obligation de l'informer de tout changement de sa situation. Le recourant allègue qu'en raison de ses troubles d'ordre physique et psychique, ainsi que de la médication «excessive» qu'il prenait pour conserver une aptitude résiduelle de travail, il était dans l'impossibilité de régler ses problèmes de nature administrative. Cet argument n'est d'aucun secours au recourant. En effet, dès lors qu'il continuait d'exploiter son cabinet de psychiatre indépendant, il convient d'admettre qu'il était tout à fait capable de fournir les informations nécessaires à l'intimée. Enfin, dans la mesure où le critère de la bonne foi n'était pas réalisé, les premiers juges n'avaient pas à examiner si la restitution des prestations indûment perçues était susceptible de placer l'assuré dans une situation difficile, les conditions de l' art. 35a al. 1 LPP étant cumulatives.</w:t>
      </w:r>
    </w:p>
    <w:p>
      <w:r>
        <w:rPr>
          <w:b/>
        </w:rPr>
        <w:t>E. 5</w:t>
      </w:r>
    </w:p>
    <w:p>
      <w:r>
        <w:t>Compte tenu de ce qui précède, le recours se révèle mal fondé et doit être rejeté.</w:t>
      </w:r>
    </w:p>
    <w:p>
      <w:r>
        <w:rPr>
          <w:b/>
        </w:rPr>
        <w:t>E. 6</w:t>
      </w:r>
    </w:p>
    <w:p>
      <w:r>
        <w:t>Vu l'issue de la procédure, les frais y afférents seront supportés par le recourant, qui ne peut prétendre des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