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9C_1/2024 vom 23. Januar 2025</w:t>
      </w:r>
    </w:p>
    <w:p>
      <w:r>
        <w:t>Bundesgericht, 2025-01-23, DE</w:t>
      </w:r>
    </w:p>
    <w:p>
      <w:r>
        <w:rPr>
          <w:b/>
        </w:rPr>
        <w:t xml:space="preserve">Quelle: </w:t>
      </w:r>
      <w:r>
        <w:t>https://mcp.opencaselaw.ch/entscheid/bger_9C_1_2024</w:t>
      </w:r>
    </w:p>
    <w:p>
      <w:r>
        <w:t>FR: TF 9C_1/2024 du 23 janvier 2025</w:t>
      </w:r>
    </w:p>
    <w:p>
      <w:r>
        <w:t>IT: TF 9C_1/2024 del 23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800.- werden der Eidgenössischen Steuerverwaltung auferlegt.</w:t>
      </w:r>
    </w:p>
    <w:p>
      <w:r>
        <w:rPr>
          <w:b/>
        </w:rPr>
        <w:t>E. 3</w:t>
      </w:r>
    </w:p>
    <w:p>
      <w:r>
        <w:t>Die Eidgenössische Steuerverwaltung hat den Beschwerdegegnerinnen eine Parteientschädigung von Fr. 3'000.- zu bezahlen.</w:t>
      </w:r>
    </w:p>
    <w:p>
      <w:r>
        <w:rPr>
          <w:b/>
        </w:rPr>
        <w:t>E. 4</w:t>
      </w:r>
    </w:p>
    <w:p>
      <w:r>
        <w:t>Diese Verfügung wird den Parteien und dem Bundesverwaltungsgericht, Abteilung I, schriftlich mitgeteilt.</w:t>
      </w:r>
    </w:p>
    <w:p>
      <w:r>
        <w:t>Luzern, 23. Januar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Der Gerichtsschreiber: Businger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