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9C_19/2008 vom 29. April 2008</w:t>
      </w:r>
    </w:p>
    <w:p>
      <w:r>
        <w:t>Bundesgericht, 2008-04-29, DE</w:t>
      </w:r>
    </w:p>
    <w:p>
      <w:r>
        <w:rPr>
          <w:b/>
        </w:rPr>
        <w:t xml:space="preserve">Quelle: </w:t>
      </w:r>
      <w:r>
        <w:t>https://mcp.opencaselaw.ch/entscheid/bger_9C_19_2008</w:t>
      </w:r>
    </w:p>
    <w:p>
      <w:r>
        <w:t>FR: TF 9C_19/2008 du 29 avril 2008</w:t>
      </w:r>
    </w:p>
    <w:p>
      <w:r>
        <w:t>IT: TF 9C_19/2008 del 29 aprile 2008</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 BGE 130 V 343 E. 3.5 S. 349; Urteil U 35/07 vom 28. Januar 2008 E. 3).</w:t>
      </w:r>
    </w:p>
    <w:p>
      <w:r>
        <w:rPr>
          <w:b/>
        </w:rPr>
        <w:t>E. 1.2</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 9C_215/2007 vom 2. Juli 2007 E. 3.1).</w:t>
      </w:r>
    </w:p>
    <w:p>
      <w:r>
        <w:rPr>
          <w:b/>
        </w:rPr>
        <w:t>E. 1.3</w:t>
      </w:r>
    </w:p>
    <w:p>
      <w:r>
        <w:t>Die Wiedererwägung ist in den Schranken von Art. 53 Abs. 3 ATSG jederzeit möglich, insbesondere auch wenn die Voraussetzungen einer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I 61/2007 vom 4. Mai 2007 E. 3). Im Urteil 9C_11/2008 vom heutigen Tag hat das Bundesgericht diese Rechtsprechung bestätigt und sie auch im Verwaltungsverfahren als anwendbar erklärt.</w:t>
      </w:r>
    </w:p>
    <w:p>
      <w:r>
        <w:t>Entgegen der Auffassung der Vorinstanz hat die IV-Stelle somit nicht Bundesrecht verletzt, indem sie die Substitution der Begründung als zulässig erachtete.</w:t>
      </w:r>
    </w:p>
    <w:p>
      <w:r>
        <w:rPr>
          <w:b/>
        </w:rPr>
        <w:t>E. 2</w:t>
      </w:r>
    </w:p>
    <w:p>
      <w:r>
        <w:t>Gemäss Vorinstanz ist der Einspracheentscheid vom 15. September 2006 dennoch aufzuheben. Entgegen der Auffassung der IV-Stelle mache eine unzureichende Sachverhaltsabklärung allein eine formell rechtskräftige Rentenzusprache nicht zweifellos unrichtig. Dieser Mangel biete nur Anlass, ein Wiedererwägungsverfahren zu eröffnen. Dabei sei ein materieller Entscheid über die Aufhebung der ursprünglichen Rente erst möglich, wenn die damals zu Unrecht unterbliebenen Sachverhaltsabkärungen nachgeholt würden. Daraus könne sich auch ergeben, dass die formell rechtskräftige Rentenzusprache eben doch richtig gewesen sei.</w:t>
      </w:r>
    </w:p>
    <w:p>
      <w:r>
        <w:rPr>
          <w:b/>
        </w:rPr>
        <w:t>E. 2.1</w:t>
      </w:r>
    </w:p>
    <w:p>
      <w:r>
        <w:t>Zweifellose Unrichtigkeit der ursprünglichen Rentenverfügung kann auch bei unrichtiger Feststellung im Sinne der Würdigung des Sachverhalts gegeben sein (E. 1.2). Darunter fällt insbesondere eine unvollständige Sachverhaltsabklärung aufgrund einer klaren Verletzung des Untersuchungsgrundsatzes (vgl. Art. 43 Abs. 1 ATSG und Art. 61 lit. c ATSG ). Trifft dies zu, erübrigt es sich, den damals rechtserheblichen Sachverhalt weiter abzuklären und auf dieser nunmehr hinreichenden tatsächlichen Grundlage den Invaliditätsgrad zu ermitteln. Abgesehen davon, dass einen weiter zurückliegenden Zeitraum betreffende Abklärungen häufig keine verwertbaren Ergebnisse zu liefern vermögen, geht es im Kontext darum, mit Wirkung ex nunc et pro futuro einen rechtskonformen Zustand herzustellen (Urteil 9C_11/2008 vom heutigen Tag E. 4.2.1).</w:t>
      </w:r>
    </w:p>
    <w:p>
      <w:r>
        <w:rPr>
          <w:b/>
        </w:rPr>
        <w:t>E. 2.2</w:t>
      </w:r>
    </w:p>
    <w:p>
      <w:r>
        <w:t>Aufgrund der Akten stützte sich die Rentenverfügung vom 12. März 2003 in medizinischer Hinsicht einzig auf den Bericht des behandelnden Psychiaters Dr. med. S.________ vom 18. Dezember 2002. Dieser stellte die Diagnose einer posttraumatischen Belastungsstörung nach einem Verkehrsunfall und erachtete eine leichte, körperlich angepasste, stressfreie Tätigkeit während vier Stunden pro Tag als zumutbar. Dieser Bericht allein stellt keine genügende Grundlage für eine Rentenzusprache dar, wie die IV-Stelle zu Recht geltend macht. Davon geht letztlich auch die Vorinstanz aus, wenn sie die zweifellose Unrichtigkeit der ursprünglichen Rentenzusprache verneint, da diese erst anhand nachzuholender Sachverhaltsfeststellungen zu beurteilen sei.</w:t>
      </w:r>
    </w:p>
    <w:p>
      <w:r>
        <w:t>Die Diagnose wurde einzig aufgrund der Angaben der Beschwerdegegnerin gestellt, und die Beurteilung der Arbeitsfähigkeit erfolgte ohne nähere Begründung. Weitere Abklärungen wären zwingend erforderlich gewesen, insbesondere in Bezug auf die Diagnose. Dass solche unterblieben, stellt eine klare Verletzung des Untersuchungsgrundsatzes dar. In diesem Sinne ist die ursprüngliche Rentenzusprache vom 12. März 2003 zweifellos unrichtig.</w:t>
      </w:r>
    </w:p>
    <w:p>
      <w:r>
        <w:t>Die Vorinstanz hat somit zu Unrecht den Einspracheentscheid vom 15. September 2006 aufgehoben und die Aufhebung der halben Rente pro futuro durch die IV-Stelle nicht materiell geprüft. Das wird sie nachzuholen haben.</w:t>
      </w:r>
    </w:p>
    <w:p>
      <w:r>
        <w:rPr>
          <w:b/>
        </w:rPr>
        <w:t>E. 3</w:t>
      </w:r>
    </w:p>
    <w:p>
      <w:r>
        <w:t>Dem Begehren um Gewährung der unentgeltlichen Rechtspflege und Verbeiständung ( Art. 64 Abs. 1 und 2 BGG ) kann entsprochen werden, weil die Bedürftigkeit auf Grund der eingereichten Unterlagen als ausgewiesen gelten kann, die Vertretung durch einen Rechtsanwalt oder eine Rechtsanwältin als geboten erscheint und die Rechtsbegehren nicht als aussichtslos bezeichnet werden können ( BGE 129 I 129 E. 2.3.1 S. 135, 128 I 225 E. 2.5.3 S. 235). Die Beschwerdegegnerin wird der Gerichtskasse jedoch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