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9C_199/2021 vom 1. Juli 2021</w:t>
      </w:r>
    </w:p>
    <w:p>
      <w:r>
        <w:t>Bundesgericht, 2021-07-01, DE</w:t>
      </w:r>
    </w:p>
    <w:p>
      <w:r>
        <w:rPr>
          <w:b/>
        </w:rPr>
        <w:t xml:space="preserve">Quelle: </w:t>
      </w:r>
      <w:r>
        <w:t>https://mcp.opencaselaw.ch/entscheid/bger_9C_199_2021</w:t>
      </w:r>
    </w:p>
    <w:p>
      <w:r>
        <w:t>FR: TF 9C_199/2021 du 1 juillet 2021</w:t>
      </w:r>
    </w:p>
    <w:p>
      <w:r>
        <w:t>IT: TF 9C_199/2021 del 1 luglio 2021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Streitig und zu prüfen ist, ob Bundesrecht verletzt wurde, indem die Vorinstanz die seitens der Beschwerdegegnerin erfolgte Herabsetzung der bisherigen ganzen Invalidenrente der Beschwerdeführerin auf eine Viertelsrente bestätigt hat.</w:t>
      </w:r>
    </w:p>
    <w:p>
      <w:r>
        <w:rPr>
          <w:b/>
        </w:rPr>
        <w:t>E. 2.2.1</w:t>
      </w:r>
    </w:p>
    <w:p>
      <w:r>
        <w:t>Die für die Beurteilung der Streitsache massgeblichen rechtlichen Grundlagen wurden im angefochtenen Urteil zutreffend wiedergegeben. Darauf wird verwiesen ( Art. 109 Abs. 3 Satz 2 BGG ).</w:t>
      </w:r>
    </w:p>
    <w:p>
      <w:r>
        <w:rPr>
          <w:b/>
        </w:rPr>
        <w:t>E. 2.2.2</w:t>
      </w:r>
    </w:p>
    <w:p>
      <w:r>
        <w:t>Zudem zu beachten gilt es, dass es sich bei den gerichtlichen Feststellungen zum Gesundheitszustand und zur Arbeitsfähigkeit um Tatfragen handelt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3.1</w:t>
      </w:r>
    </w:p>
    <w:p>
      <w:r>
        <w:t>Das kantonale Gericht hat den Gutachten der Dres. med. B.________ vom 22. November 2014 und 8. November 2017, C.________ vom 21. September 2017 und D.________ vom 28. März 2019 Beweiskraft zuerkannt. Aus somatischer Sicht hat es auf eine Verschlechterung, aus psychiatrischer Sicht auf eine Verbesserung des Gesundheitszustandes seit Zusprache der ganzen Invalidenrente mit Verfügung vom 17. Juni 2002 geschlossen. Ausgehend von einer 60%igen Arbeitsfähigkeit in leidensangepasster Tätigkeit hat es - unter hypothetischer Bejahung eines maximalen Abzugs vom Tabellenlohn von 15 % - den Anspruch auf eine Viertelsrente bestätigt (Invaliditätsgrad: "mindestens 40 % und weniger als 50 %").</w:t>
      </w:r>
    </w:p>
    <w:p>
      <w:r>
        <w:rPr>
          <w:b/>
        </w:rPr>
        <w:t>E. 3.2</w:t>
      </w:r>
    </w:p>
    <w:p>
      <w:r>
        <w:t>Die Einwendungen der Beschwerdeführerin lassen weder die vorinstanzlichen Sachverhaltsfeststellungen als offensichtlich unrichtig, als Ergebnis willkürlicher Beweiswürdigung oder als rechtsfehlerhaft nach Art. 95 BGG erscheinen, noch zeigen sie sonst wie eine Bundesrechtsverletzung auf (vgl. E. 1 hiervor).</w:t>
      </w:r>
    </w:p>
    <w:p>
      <w:r>
        <w:rPr>
          <w:b/>
        </w:rPr>
        <w:t>E. 3.2.1</w:t>
      </w:r>
    </w:p>
    <w:p>
      <w:r>
        <w:t>Auf rein appellatorische Kritik (vgl. BGE 144 V 50 E. 4.2 mit Hinweisen) ist nicht weiter einzugehen. Dies gilt insbesondere, soweit die Beschwerdeführerin auf der Grundlage der Ausführungen in den Expertisen eine eigene, den Gutachtern widersprechende, Arbeitsfähigkeitsschätzung vornimmt.</w:t>
      </w:r>
    </w:p>
    <w:p>
      <w:r>
        <w:rPr>
          <w:b/>
        </w:rPr>
        <w:t>E. 3.2.2</w:t>
      </w:r>
    </w:p>
    <w:p>
      <w:r>
        <w:t>Allein der Umstand, dass die Expertisen der Dres. med. C.________ vom 21. September 2017 und B.________ vom 8. November 2017 vor längerer Zeit erstattet wurden, vermag deren Beweiskraft noch nicht in Frage zu stellen. Die Beschwerdeführerin legt nicht dar, dass es zwischenzeitlich bis zum Erlass der Verfügung vom 14. Februar 2020 zu relevanten Veränderungen des Gesundheitszustandes gekommen sein soll.</w:t>
      </w:r>
    </w:p>
    <w:p>
      <w:r>
        <w:rPr>
          <w:b/>
        </w:rPr>
        <w:t>E. 3.2.3</w:t>
      </w:r>
    </w:p>
    <w:p>
      <w:r>
        <w:t>Die Angaben der Beschwerdeführerin anlässlich der psychiatrischen Begutachtung, wonach sie nicht mehr alleine einkaufen gehen könne und beim Betreten eines Shopping-Centers unter Atemnot und Weinen leiden würde, wurden berücksichtigt. Gleiches gilt für die geklagte Nervosität. Dr. med. C.________ führte aus, die Atemnot und das Weinen beim Betreten eines Shopping-Centers mit vielen Leuten oder eines engen Liftes sei insgesamt als Ausdruck einer isolierten Phobie zu betrachten (Expertise S. 6 f., S. 9 ff., S. 15, S. 18). Die entsprechende Diagnose beurteilte er als ohne Auswirkung auf die Arbeitsfähigkeit (Expertise S. 13).</w:t>
      </w:r>
    </w:p>
    <w:p>
      <w:r>
        <w:t>Eine - wie bei der Beschwerdeführerin offensichtlich - freiwillige Reduktion der Sitzungsfrequenz bei der behandelnden Psychiaterin spricht sodann gegen einen entsprechenden Leidensdruck. Dass der Experte dies in seine Würdigung mit einbezog (Expertise S. 15), ist nicht zu beanstanden.</w:t>
      </w:r>
    </w:p>
    <w:p>
      <w:r>
        <w:rPr>
          <w:b/>
        </w:rPr>
        <w:t>E. 3.2.4</w:t>
      </w:r>
    </w:p>
    <w:p>
      <w:r>
        <w:t>Entgegen der Ansicht der Beschwerdeführerin sind die Angaben im Gutachten von Dr. med. D.________ weiter nicht widersprüchlich. Als Mediziner hat er bei seiner Arbeitsfähigkeitsschätzung (vorliegend 70 % aus rein rheumatologischer Sicht, Expertise S. 20) einzig die Folgen des von ihm festgestellten Gesundheitsschadens zu berücksichtigen. Davon unabhängig ist, ob die Wiedereingliederung aufgrund von invaliditätsfremden Aspekten (lange Erwerbsuntätigkeit, Schmerzfixation, Behinderungsüberzeugung, geringe Ressourcen [insbesondere fehlende Berufsausbildung]; vgl. Expertise S. 18 f.) gelingen wird oder nicht respektive ob berufliche Massnahmen mit Blick auf diese Umstände empfohlen werden können.</w:t>
      </w:r>
    </w:p>
    <w:p>
      <w:r>
        <w:rPr>
          <w:b/>
        </w:rPr>
        <w:t>E. 3.2.5</w:t>
      </w:r>
    </w:p>
    <w:p>
      <w:r>
        <w:t>Soweit sich die Beschwerdeführerin auf die Unverwertbarkeit ihrer Restarbeitsfähigkeit beruft, ist nicht einzusehen, weshalb ein ausgeglichener Arbeitsmarkt ( Art. 16 ATSG ; BGE 138 V 457 E. 3.1; 110 V 273 E. 4b; vgl. auch Urteil 8C_783/2020 vom 17. Februar 2021 E. 7.3.1 mit Hinweisen) nicht auch in hinreichender Anzahl Stellen offenhalten sollte, die dem von den Gutachtern festgestellten, nicht (substanziiert) bestrittenen Zumutbarkeitsprofil (Expertise von Dr. med. B.________ vom 8. November 2017 S. 35 und 39; Expertise von Dr. med. D.________ vom 28. März 2019 S. 20 ff.) entsprechen.</w:t>
      </w:r>
    </w:p>
    <w:p>
      <w:r>
        <w:rPr>
          <w:b/>
        </w:rPr>
        <w:t>E. 3.2.6</w:t>
      </w:r>
    </w:p>
    <w:p>
      <w:r>
        <w:t>Eine Berücksichtigung des Misserfolgs beruflicher Massnahmen bei der Arbeitsfähigkeitsschätzung fällt schliesslich von vornherein ausser Betracht. Dies bereits aufgrund der rein hypothetischen Möglichkeit, dass dieser in subjektiven Umständen begründet sein könnte. In Würdigung ihrer auftragsrechtlichen Vertrauensstellung ( BGE 135 V 465 E. 4.5 mit Hinweis; vgl. auch Urteil 8C_758/2020 vom 14. April 2021 E. 5.2.3 mit Hinweisen) ändert daran nichts, dass die behandelnden (Fach-) Ärzte die Beschwerdeführerin vorliegend jeweils arbeitsunfähig geschrieben hatten.</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Die Gerichtskosten hat die Beschwerdeführerin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