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9C_199/2013 vom 4. Februar 2014</w:t>
      </w:r>
    </w:p>
    <w:p>
      <w:r>
        <w:t>Bundesgericht, 2014-02-04, DE</w:t>
      </w:r>
    </w:p>
    <w:p>
      <w:r>
        <w:rPr>
          <w:b/>
        </w:rPr>
        <w:t xml:space="preserve">Quelle: </w:t>
      </w:r>
      <w:r>
        <w:t>https://mcp.opencaselaw.ch/entscheid/bger_9C_199_2013</w:t>
      </w:r>
    </w:p>
    <w:p>
      <w:r>
        <w:t>FR: TF 9C_199/2013 du 4 février 2014</w:t>
      </w:r>
    </w:p>
    <w:p>
      <w:r>
        <w:t>IT: TF 9C_199/2013 del 4 febbraio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der Zusammenhänge einleuchtet und die Schlussfolgerungen begründet sind ( BGE 125 V 351 E. 3a S. 352).</w:t>
      </w:r>
    </w:p>
    <w:p>
      <w:r>
        <w:rPr>
          <w:b/>
        </w:rPr>
        <w:t>E. 1.3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138 I 171 E. 14 S. 176; 134 II 244 E. 2.2 mit Hinweis S. 246).</w:t>
      </w:r>
    </w:p>
    <w:p>
      <w:r>
        <w:t>Die Beweiswürdigung des kantonalen Gerichts, einschliesslich der antizipierten Schlussfolgerung, wonach keine weiteren medizinischen Abklärungen erforderlich seien, beschlägt Fragen tatsächlicher Natur und ist daher für das Bundesgericht grundsätzlich bindend (E. 1.1).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w:t>
      </w:r>
    </w:p>
    <w:p>
      <w:r>
        <w:rPr>
          <w:b/>
        </w:rPr>
        <w:t>E. 2</w:t>
      </w:r>
    </w:p>
    <w:p>
      <w:r>
        <w:t>Die Vorinstanz hat die gesetzlichen Bestimmungen und von der Rechtsprechung entwickelten Grundsätze zu den Begriffen der Invalidität ( Art. 8 Abs. 1 ATSG , Art. 4 Abs. 1 IVG ), der Erwerbsfähigkeit ( Art. 7 Abs. 1 ATSG ), dem Umfang des Rentenanspruchs ( Art. 28 Abs. 2 IVG ; bis 31. Dezember 2007: Art. 28 Abs. 1 IVG ) sowie zu den Anforderungen an beweiskräftige medizinische Berichte und Gutachten ( BGE 134 V 231 E. 5.1 S. 232; 125 V 351 E. 3a S. 352 mit Hinweis) zutreffend dargelegt. Darauf wird verwiesen.</w:t>
      </w:r>
    </w:p>
    <w:p>
      <w:r>
        <w:rPr>
          <w:b/>
        </w:rPr>
        <w:t>E. 3</w:t>
      </w:r>
    </w:p>
    <w:p>
      <w:r>
        <w:t>Streitig und zu prüfen ist der Rentenanspruch. Das Rückweisungsurteil des Bundesgerichts vom 20. Oktober 2008 qualifizierte den Sachverhalt hinsichtlich der somatischen Aspekte des Krankheitsbildes der Beschwerdeführerin als ungenügend abgeklärt. Fraglich war insbesondere, ob die früher aktenmässig gesicherte radikuläre Pathologie im Zeitpunkt des Erlasses der dort angefochtenen Verfügung vom 20. Oktober 2007 weggefallen war. In Nachachtung dieses Urteils holte die IV-Stelle das Gutachten des Zentrums A.________ vom 11. August 2010 ein. Streitig ist nunmehr, ob zur Beurteilung des Rentenanspruchs mit Vorinstanz und Verwaltung auf dieses Gutachten abzustellen ist. Die Beschwerdeführerin rügt im Wesentlichen eine unvollständige und willkürliche Sachverhaltsfeststellung bezüglich der Arbeitsfähigkeit bis 2006 und bis zum Gutachten des Zentrums A.________ vom 11. August 2010 im Hinblick auf eine allenfalls befristete Rente sowie eine willkürliche Beweiswürdigung dieser Expertise.</w:t>
      </w:r>
    </w:p>
    <w:p>
      <w:r>
        <w:rPr>
          <w:b/>
        </w:rPr>
        <w:t>E. 3.1</w:t>
      </w:r>
    </w:p>
    <w:p>
      <w:r>
        <w:t>Die Vorinstanz stellte fest, gemäss Gutachten des Zentrums A.________ sei die Arbeitsfähigkeit aus psychiatrischer Sicht um höchstens 30% eingeschränkt. Somatischerseits sei ihr im Gutachten zusammenfassend aus neurologischer, orthopädischer und rheumatologischer Sicht eine volle Arbeitsfähigkeit für leichte bis mittelschwere rückenadaptierte Arbeiten in wechselbelastender Stellung attestiert und darauf hingewiesen worden, dass sich die geklagten Beschwerden nur unzureichend durch organische Befunde erklären lassen. Unter rheumatologischem Blickwinkel sei das 2002 aufgetretene Reiz- und Ausfallsyndrom im August 2003 nicht mehr vorhanden gewesen. Wohl seien in der Folge erneut lumbale Schmerzen aufgetreten; im Gegensatz zu den initialen klinischen Befunden könnten jetzt - wie schon 2006 - keine eindeutigen radikulären neurologischen Ausfälle mehr festgestellt werden. In neurologischer Hinsicht zeige sich aktuell ein vorwiegend funktionelles Beschwerdebild mit teilweise inkonsistenten, nicht verwertbaren pathologischen Befunden; die diffuse Anordnung der angegebenen Sensibilitätsstörungen zeige kein radikuläres Muster und auch weitere - einzeln genannte - Hinweise sprächen gegen eine weiter anhaltende Wurzelkompression.</w:t>
      </w:r>
    </w:p>
    <w:p>
      <w:r>
        <w:rPr>
          <w:b/>
        </w:rPr>
        <w:t>E. 3.2</w:t>
      </w:r>
    </w:p>
    <w:p>
      <w:r>
        <w:t>Die Vorinstanz ist aus umfassender Würdigung der gesamten Aktenlage und in Auseinandersetzung mit den beschwerdeführerischen Vorbringen zum Schluss gelangt, aus den übereinstimmenden und einlässlich begründeten Feststellungen im beweiskräftigen Gutachten gehe mit überwiegender Wahrscheinlichkeit hervor, dass die 2002 aufgetretene radikuläre Symptomatik im Zeitpunkt des Verfügungserlasses vom Oktober 2007 wie auch im Zeitpunkt der Begutachtung des Zentrums A.________ (August 2010) nicht mehr bestanden habe. Somit sei die vom Bundesgericht als ungenügend abgeklärt erachtete Frage des Wegfalls der radikulären Pathologie nunmehr beantwortet und damit eine rentenbegründende Arbeitsunfähigkeit nicht ausgewiesen, auch nicht in einer früheren Zeitspanne, was allenfalls einen befristeten Rentenanspruch hätte begründen können. Diese Betrachtung ist in keiner Weise bundesrechtswidrig:</w:t>
      </w:r>
    </w:p>
    <w:p>
      <w:r>
        <w:rPr>
          <w:b/>
        </w:rPr>
        <w:t>E. 3.2.1</w:t>
      </w:r>
    </w:p>
    <w:p>
      <w:r>
        <w:t>Der Einwand, die Vorinstanz habe die seit Jahren massiven invalidisierenden lumbalen Rückenschmerzen, die immer wieder rechts ausstrahlen, übersehen, dringt nicht durch. Denn das kantonale Gericht hat nachvollziehbar dargelegt, dass zwar weiterhin Rückenschmerzen bestanden, dafür jedoch gestützt auf das orthopädische und das neurologische Teilgutachten des Zentrums A.________ keine eindeutigen radikulären neurologischen Ausfälle mehr festgestellt werden konnten. Vielmehr zeigte sich ein vorwiegend funktionelles Beschwerdebild mit teilweise inkonsistenten und nicht pathologisch verwertbaren Befunden. Daran ändert weder der sehr schwach auslösbare Muskelreflex bei bestehendem Diabetes mellitus etwas noch der Umstand, dass die Gutachter vom "zur Komplettierung der Diagnostik an sich zu befürwortenden MRT der HWS" angesichts der übrigen umfassenden Untersuchungen absahen. Die Gutachter führten selber aus, für die aktuell zur Diskussion stehende Beurteilung der Arbeitsfähigkeit sei angesichts der übrigen umfangreichen Datenlage hiervon jedoch kein wesentlicher neuer Aufschluss zu erwarten. Mit dem kantonalen Gericht besteht auch kein Widerspruch darin, dass die bildgebend erkannten Auffälligkeiten im Sinne einer Abweichung vom anatomischen Normalfall als stumm gelten und trotzdem Rückenschmerzen bestehen. Auf diese Erwägungen geht die Beschwerdeführerin nicht ein.</w:t>
      </w:r>
    </w:p>
    <w:p>
      <w:r>
        <w:rPr>
          <w:b/>
        </w:rPr>
        <w:t>E. 3.2.2</w:t>
      </w:r>
    </w:p>
    <w:p>
      <w:r>
        <w:t>Die weiteren Einwände der Beschwerdeführerin mit Verweisen auf die Arbeitsfähigkeitsbeurteilungen der behandelnden Ärzte vermögen, soweit es sich dabei nicht um appellatorische und damit ohnehin unzulässige Kritik (E. 1.3 hievor) handelt, die vorinstanzlichen Sachverhaltsfeststellungen nicht in Frage zu stellen. Dass das kantonale Gericht das Ausmass der Arbeitsfähigkeit vor 2006 nicht konkret beziffert hat, ist deshalb nicht stichhaltig, weil es nachvollziehbar dargelegt hat, weshalb nicht auf die Arbeitsfähigkeitsbeurteilung des Chiropraktors Dr. V.________ abzustellen ist und sich gestützt auf die Aktenlage keine Anhaltspunkte ergeben, um auf eine weit zurückliegende, vorübergehende, aber doch länger anhaltende Einschränkung zu schliessen, die einen befristeten Rentenanspruch begründen könnte, was im Rahmen der gesetzlichen Überprüfungsbefugnis (E. 1.2) nicht zu beanstanden ist. Der Schluss von der befristet bis 30. März 2003 von Dr. med. K.________, Spital C.________, attestierten Arbeitsfähigkeit von 50% auf eine (rentenausschliessende) Arbeitsfähigkeit ist nicht willkürlich. Entsprechend geht auch die Rüge fehl, das kantonale Gericht habe sich nicht zu einem befristeten Rentenanspruch geäussert. Der Standpunkt in der Beschwerde, die IV-Stelle trage für das Wiedererlangen der Arbeitsfähigkeit die (materielle) Beweislast, ist unbegründet, weil zufolge fehlenden Beweises der tatsächlichen Voraussetzungen für den Rentenanspruch ( Art. 28 ff. IVG ) ein solcher in keinem Zeitpunkt entstehen konnte.</w:t>
      </w:r>
    </w:p>
    <w:p>
      <w:r>
        <w:rPr>
          <w:b/>
        </w:rPr>
        <w:t>E. 3.2.3</w:t>
      </w:r>
    </w:p>
    <w:p>
      <w:r>
        <w:t>Angesichts des umfassenden Gutachtens, welches die im Rückweisungsurteil noch offen gebliebene Frage des Wegfalls der radikulären Pathologie eingehend beleuchtet hat, und der dargelegten, sorgfältigen und inhaltsbezogenen Beweiswürdigung der Vorinstanz kann von einer willkürlichen Entscheidung über die Arbeitsfähigkeit keine Rede sein. Die Beschwerdegegnerin hat das medizinisch Mögliche zur Erhellung des Sachverhalts vorgekehrt.</w:t>
      </w:r>
    </w:p>
    <w:p>
      <w:r>
        <w:rPr>
          <w:b/>
        </w:rPr>
        <w:t>E. 3.3</w:t>
      </w:r>
    </w:p>
    <w:p>
      <w:r>
        <w:t>Angesichts der aktuell klaren und bezüglich der zurückliegenden Zeiten keinem weiteren Beweis zugänglichen Aktenlage bestand keine Veranlassung für eine abermalige Begutachtung und eine erneute "ausführliche Interpretation des am 6. August 2012 angefertigten MR der LWS", wie dies die Beschwerdeführerin im Eventualantrag verlangt, auch nicht mit Blick auf den dazugehörigen, erneut aufgelegten Bericht des Dr. med. P.________ vom 19. September 2012. Abgesehen davon, dass diese Unterlagen weder von der Vorinstanz noch vom Bundesgericht zu berücksichtigen sind, da sie aus der Zeit nach Verfügungserlass stammen, könnte die Beschwerdeführerin ohnehin nichts zu ihren Gunsten daraus ableiten, nachdem dort ebenso wie im Gutachten des Zentrums A.________ eine Diskordanz zwischen Hauptschmerzseite (links) und kompressivem irritativem Befund im MRI (rechts) " festgestellt wird. Es ist widersprüchlich, wenn die Beschwerdeführerin einerseits auf diesen Bericht verweist und andererseits bemängelt, dass die Vorinstanz gestützt darauf die linke Seite als Hauptschmerzseite betrachte. Insgesamt läuft die in der Beschwerde vertretene Sichtweise darauf hinaus, im Zweifel Leistungen zuzusprechen, was ständiger Praxis zuwiderläuft (vgl. etwa BGE 129 V 472 E. 4.2.1 S. 477).</w:t>
      </w:r>
    </w:p>
    <w:p>
      <w:r>
        <w:rPr>
          <w:b/>
        </w:rPr>
        <w:t>E. 3.4.1</w:t>
      </w:r>
    </w:p>
    <w:p>
      <w:r>
        <w:t>Mit Bezug auf den Einkommensvergleich ermittelte die IV-Stelle zwei Invaliditätsgrade, einmal als voll Erwerbstätige (34%), dann als Teilerwerbstätige (Erwerbsbereich / Haushaltbereich je 50%; 21%) für eine vorübergehende, eineinhalbjährige Pensumsreduktion nach Geburt der zweiten Tochter im Jahr 2009. Die Vorinstanz hat sich dazu nicht weiter geäussert. Die Beschwerdeführerin stellt die vorübergehende Änderung der Bemessungsmethode nicht in Frage, sondern rügt einzig erneut einen fehlenden leidensbedingten Abzug.</w:t>
      </w:r>
    </w:p>
    <w:p>
      <w:r>
        <w:rPr>
          <w:b/>
        </w:rPr>
        <w:t>E. 3.4.2</w:t>
      </w:r>
    </w:p>
    <w:p>
      <w:r>
        <w:t>Die Frage, ob eine (behinderungsbedingt oder anderweitig begründete) Kürzung statistisch ermittelter Lohnansätze nach Massgabe der Grundsätze von BGE 126 V 75 vorzunehmen sei, ist rechtlicher Natur ( BGE 132 V 393 E. 3.3 S. 399), folglich vom Bundesgericht frei zu prüfen. Sie ist zu bejahen, wenn im Einzelfall Anhaltspunkte dafür bestehen, dass die versicherte Person wegen eines oder mehrerer dieser Merkmale ihre gesundheitlich bedingte (Rest-) Arbeitsfähigkeit auf dem allgemeinen Arbeitsmarkt nur mit unterdurchschnittlichem erwerblichem Erfolg verwerten kann (Urteile 8C_778/2007 vom 29. Mai 2008 E. 5.2.1 und 9C_382/2007 vom 13. November 2007 E. 4.1 und 4.2 mit Hinweisen). Dies ist hier nicht der Fall. Die von der Beschwerdeführerin relevierten Punkte sind mit der Festlegung des medizinischen Zumutbarkeitsprofils im Wesentlichen schon berücksichtigt (vgl. Urteil 8C_75/2008 vom 14. November 2008 E. 4.3). Das gilt namentlich für den erneut vorgebrachten erhöhten Pausenbedarf. Ebenso wenig sind der geltend gemachte Migrationshintergrund dieser 1971 geborenen und 1987 in die Schweiz eingereisten Versicherten (die seit ihrer Heirat 1994 Schweizerin ist), oder der mehrjährige Arbeitsunterbruch mit Blick auf einfache Tätigkeiten im Anforderungsniveau 4 der Lohnstrukturerhebungen, LSE, ein lohnminderndes Erschwernis im Sinne der Rechtsprechung ( BGE 126 V 75 ). Andere massgebende persönliche und berufliche Umstände sind bei der Beschwerdeführerin, welcher nur noch eine Teilzeittätigkeit im Ausmass von 70% zugemutet wird - was bei Frauen rechtsprechungsgemäss keinen Anlass für einen Teilzeitabzug bietet (vgl. Urteil 9C_315/2012 vom 18. September 2012) - nicht ersichtlich.</w:t>
      </w:r>
    </w:p>
    <w:p>
      <w:r>
        <w:rPr>
          <w:b/>
        </w:rPr>
        <w:t>E. 3.5</w:t>
      </w:r>
    </w:p>
    <w:p>
      <w:r>
        <w:t>Die Beschwerdeführerin macht schliesslich im letztinstanzlichen Verfahren erstmals geltend, ein im Feststellungsblatt der IV-Stelle erwähnter erster Einkommensvergleich "von W.________" habe offenbar zunächst eine Viertelsrente ergeben. So sei dem Rechtsvertreter der Beschwerdeführerin mündlich ausgerichtet worden, es reiche für eine Viertelsrente. Dieser Einkommensvergleich sei gemäss Feststellungsblatt später korrigiert worden, finde sich aber unzulässigerweise nicht in den Akten, was eine Verletzung der Aktenführungspflicht und des rechtlichen Gehörs darstelle. Darauf und auf den diesbezüglichen Antrag auf Befragung des Rechtsvertreters ist jedoch nicht weiter einzugehen. Es handelt sich um ein neues, unzulässiges Vorbringen, nachdem weder hinreichend begründet wird noch ersichtlich ist, dass erst der angefochtene Entscheid dazu Anlass gegeben hat ( Art. 99 Abs. 1 BGG ; Urteil 4A_223/2007 vom 30. August 2007 E. 3.2 in fine). Das gilt im Übrigen auch für den neu aufgelegten Bericht der Potenzialabklärung der Institution B.________ GmbH vom 12. November 2013, der weit nach Verfügungserlass datiert und daher gegebenenfalls im Rahmen einer Neuanmeldung bei der IV-Stelle geltend zu machen wäre (vgl. Art. 87 Abs. 3 und Art. 29bis IVV ).</w:t>
      </w:r>
    </w:p>
    <w:p>
      <w:r>
        <w:rPr>
          <w:b/>
        </w:rPr>
        <w:t>E. 4</w:t>
      </w:r>
    </w:p>
    <w:p>
      <w:r>
        <w:t>Damit hat es beim vorinstanzlichen Entscheid sein Bewenden.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