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9C_199/2011 vom 25. März 2011</w:t>
      </w:r>
    </w:p>
    <w:p>
      <w:r>
        <w:t>Bundesgericht, 2011-03-25, DE</w:t>
      </w:r>
    </w:p>
    <w:p>
      <w:r>
        <w:rPr>
          <w:b/>
        </w:rPr>
        <w:t xml:space="preserve">Quelle: </w:t>
      </w:r>
      <w:r>
        <w:t>https://mcp.opencaselaw.ch/entscheid/bger_9C_199_2011</w:t>
      </w:r>
    </w:p>
    <w:p>
      <w:r>
        <w:t>FR: TF 9C_199/2011 du 25 mars 2011</w:t>
      </w:r>
    </w:p>
    <w:p>
      <w:r>
        <w:t>IT: TF 9C_199/2011 del 25 marzo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9C_199/2011</w:t>
      </w:r>
    </w:p>
    <w:p>
      <w:r>
        <w:t>Urteil vom 25. März 2011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Schmutz.</w:t>
      </w:r>
    </w:p>
    <w:p>
      <w:r>
        <w:t>Verfahrensbeteiligte</w:t>
      </w:r>
    </w:p>
    <w:p>
      <w:r>
        <w:t>M.________, vertreten durch Beratungsstelle für Ausländer,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 vom 29. September 2010.</w:t>
      </w:r>
    </w:p>
    <w:p>
      <w:r>
        <w:t>Nach Einsicht</w:t>
      </w:r>
    </w:p>
    <w:p>
      <w:r>
        <w:t>in die Beschwerde vom 10. März 2011 (Poststempel) gegen den Entscheid des Sozialversicherungsgerichts des Kantons Zürich vom 29. September 2010,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namentlich der geforderte leidensbedingte Abzug (von 20 %) dem Beschwerdeführer bereits gewährt worden ist (Abzug von 25 %; vgl. SVA in der vorinstanzlichen Vernehmlassung vom 22. Juli 2010 und im Feststellungsblatt vom 16. März 2010), weshalb die darauf bezogenen Vorbringen von vornherein unbehelflich sind,</w:t>
      </w:r>
    </w:p>
    <w:p>
      <w:r>
        <w:t>dass deshalb im vereinfachten Verfahren nach Art. 108 Abs. 1 lit. b BGG auf die Beschwerde nicht einzutreten ist und in Anwendung von Art. 66 Abs. 1 Satz 2 BGG auf die Erhebung von Gerichtskosten verzichtet wird, was zur Gegenstandslosigkeit des Gesuchs um unentgeltliche Rechtspflege führt,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25. März 2011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