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199/2008 vom 19. November 2008</w:t>
      </w:r>
    </w:p>
    <w:p>
      <w:r>
        <w:t>Bundesgericht, 2008-11-19, DE</w:t>
      </w:r>
    </w:p>
    <w:p>
      <w:r>
        <w:rPr>
          <w:b/>
        </w:rPr>
        <w:t xml:space="preserve">Quelle: </w:t>
      </w:r>
      <w:r>
        <w:t>https://mcp.opencaselaw.ch/entscheid/bger_9C_199_2008</w:t>
      </w:r>
    </w:p>
    <w:p>
      <w:r>
        <w:t>FR: TF 9C 199/2008 du 19 novembre 2008</w:t>
      </w:r>
    </w:p>
    <w:p>
      <w:r>
        <w:t>IT: TF 9C 199/2008 del 19 novembre 2008</w:t>
      </w:r>
    </w:p>
    <w:p>
      <w:pPr>
        <w:pStyle w:val="Heading2"/>
      </w:pPr>
      <w:r>
        <w:t>Regeste</w:t>
      </w:r>
    </w:p>
    <w:p>
      <w:r>
        <w:t>Berufliche Vorsorge | Berufliche Vorsorge</w:t>
      </w:r>
    </w:p>
    <w:p>
      <w:pPr>
        <w:pStyle w:val="Heading2"/>
      </w:pPr>
      <w:r>
        <w:t>Erwägungen</w:t>
      </w:r>
    </w:p>
    <w:p>
      <w:r>
        <w:rPr>
          <w:b/>
        </w:rPr>
        <w:t>E. 1</w:t>
      </w:r>
    </w:p>
    <w:p>
      <w:r>
        <w:t>Streitig ist die Leistungspflicht der Beschwerdegegnerin aus einer gebundenen Vorsorgeversicherung der Säule 3a nach Art. 82 Abs. 2 BVG . Solche Streitigkeiten fallen in die sachliche Zuständigkeit der Berufsvorsorgegerichte ( Art. 73 Abs. 1 lit. b BVG , in der Fassung gemäss Ziff. I des Bundesgesetzes vom 3. Oktober 2003 [1. BVG-Revision], in Kraft seit 1. Januar 2005 [AS 2004 1677, 1700; BBl 2000 2637]; Urteil B 163/06 vom 11. Februar 2008, E. 3). Letztinstanzlich ist die II. sozialrechtliche Abteilung des Bundesgerichts zuständig (Art. 35 lit. e des Reglementes für das Bundesgericht vom 20. November 2006 [SR 173.110.131] in Verbindung mit Art. 49 und Art. 73 BVG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w:t>
      </w:r>
    </w:p>
    <w:p>
      <w:r>
        <w:t>Die Beschwerdeführerin bestreitet zunächst, die Anzeigepflicht verletzt zu haben.</w:t>
      </w:r>
    </w:p>
    <w:p>
      <w:r>
        <w:rPr>
          <w:b/>
        </w:rPr>
        <w:t>E. 3.1.1</w:t>
      </w:r>
    </w:p>
    <w:p>
      <w:r>
        <w:t>Gemäss Art. 4 VVG hat der Antragsteller dem Versicherer anhand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rPr>
          <w:b/>
        </w:rPr>
        <w:t>E. 3.1.2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 BGE 116 V 218 E. 5a S. 226 f. mit zahlreichen Hinweisen auf Lehre und Rechtsprechung; Urteil 9C_99/2008 vom 3. Juli 2008, E. 3.3.2; vgl. auch BGE 118 II 333 E. 2a S. 336; 116 II 338 E. 1a S. 339, je mit Hinweisen; Urteil B 42/96 vom 14. Mai 1997, E. 3, publ. in: SZS 1998, S. 375).</w:t>
      </w:r>
    </w:p>
    <w:p>
      <w:r>
        <w:rPr>
          <w:b/>
        </w:rPr>
        <w:t>E. 3.1.3</w:t>
      </w:r>
    </w:p>
    <w:p>
      <w:r>
        <w:t>Im Unterschied zum vertraglich vereinbarten Rechtsnachteil bei der Verletzung einer Obliegenheit gemäss Art. 45 Abs. 1 VVG fällt die Frage nach dem Verschulden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118 II 333 E. 2b S. 337; 116 II 338 E. 1c S. 341, 116 V 218 E. 5b S. 227 f.; Urteil B 42/96 vom 14. Mai 1997, E. 3b, publ. in: SVR 1997 BVG Nr. 81 S. 249; erwähntes Urteil 9C_99/2008 E. 3.3.3).</w:t>
      </w:r>
    </w:p>
    <w:p>
      <w:r>
        <w:rPr>
          <w:b/>
        </w:rPr>
        <w:t>E. 3.1.4</w:t>
      </w:r>
    </w:p>
    <w:p>
      <w:r>
        <w:t>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(Alfred Maurer, Schweizerisches Privatversicherungsrecht, 3. Aufl., Bern 1995, S. 253; vgl. Urs Ch. Nef, in: Honsell/Vogt/Schnyder [Hrsg.], Basler Kommentar, Bundesgesetz über den Versicherungsvertrag [VVG], Basel 2001, N 50 zu Art. 4).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 BGE 106 V 170 E. 3b S. 174 betreffend Art. 5 Abs. 3 des bis 31. Dezember 1994 in Kraft gewesenen Bundesgesetzes über die Krankenversicherung [KUVG] vom 13. Juni 1911, das eine dem Art. 4 VVG weitgehend analoge, allerdings verschuldensabhängige Regelung der Anzeigepflichtverletzung kannte; erwähntes Urteil 9C_99/2008 E. 3.3.4; vgl. auch BGE 116 II 338 E. 1b S. 340).</w:t>
      </w:r>
    </w:p>
    <w:p>
      <w:r>
        <w:rPr>
          <w:b/>
        </w:rPr>
        <w:t>E. 3.2</w:t>
      </w:r>
    </w:p>
    <w:p>
      <w:r>
        <w:t>Das kantonale Gericht hat verbindlich und unbestrittenermassen festgestellt, dass die Beschwerdeführerin auf dem Formular "Erklärungen der zu versichernden Person" im Rahmen des Versicherungsantrags vom 25. Januar 1996 die Fragen "Wurden Sie in den letzten drei Jahren ärztlich untersucht oder behandelt?" (Frage 1a), "Bestehen bei Ihnen gegenwärtig gesundheitliche Störungen oder Gebrechen?" (Frage 2) sowie "Haben Sie oder hatten Sie jemals Rheumatismus, Ischias, Rückenbeschwerden, Erkrankungen oder Verletzungen der Wirbelsäule?" (Frage 10f) mit Nein beantwortet hat. Des Weitern hat die Beschwerdeführerin nach den Feststellungen der Vorinstanz die Frage "Sind Sie vollständig erwerbsfähig?" (Frage 3) bejaht. Das kantonale Gericht ging gestützt auf den Bericht des Dr. med. S.________, Spezialarzt FMH für Innere Medizin speziell Rheumaerkrankungen, vom 19. August 1996 davon aus, dass die Beschwerdeführerin mit überwiegender Wahrscheinlichkeit bereits im Moment der Unterzeichnung des Versicherungsantrags im Januar 1996 oder vorher einmal Rückenbeschwerden hatte. Die Angaben des Dr. med. S.________ zur zeitlichen Entwicklung der Beschwerden seien plausibel. Er treffe diagnostische präzise Annahmen. Mit der Formulierung, die Klägerin sei "deswegen" vom Frauenspital während der gesamten Schwangerschaft von August 1995 bis April 1996 zu 100 % arbeitsfähig (recte: arbeitsunfähig) geschrieben worden, nehme er eindeutig Bezug auf die seit fünf bis sechs Jahren bestehenden Kreuzschmerzen. Des Weitern diagnostiziere er eine lumbale Wurzelkompression. Das plötzliche Auftreten einer solchen radikulären Symptomatik würde einen Unfall oder ein anderes, bestimmtes - deutlich wahrnehmbares - unfallähnliches Ereignis bedingen. Ohne ein derartiges Ereignis trete eine radikuläre Symptomatik mit überwiegender Wahrscheinlichkeit nicht plötzlich ein. Ein Unfall oder ein anderes, bestimmtes Ereignis werde jedoch von der Beschwerdeführerin nicht berichtet, sodass davon auszugehen sei, dass die Rückenschmerzen nicht erst Mitte Juni 1996 aufgetreten seien. Zudem sei zu beachten, dass es nicht erforderlich sei, dass die Rückenbeschwerden im Sinne einer diagnostizierten und objektiv festgestellten gesundheitlichen Beeinträchtigung vorbestanden haben. Zumindest bei der Frage "Haben Sie oder hatten Sie ... jemals an Rückenbeschwerden ... gelitten?" hätte die Beschwerdeführerin auch bloss subjektiv empfundene Rückenschmerzen, die sie bisher noch nicht medizinisch abklären oder behandeln liess, angeben müssen. Dass sie bereits seit längerem Rückenschmerzen hatte, ergebe sich mit überwiegender Wahrscheinlichkeit aus dem Arztbericht des Dr. med. S.________ vom 19. August 1996, wo als subjektive Angaben der Beschwerdeführerin Kreuzschmerzen seit fünf bis sechs Jahren angegeben werden. Des Weitern weise etwa auch PD Dr. med. R.________, Neurochirurgie FMH, in seinem Bericht vom 16. August 1996 auf "schwere Kreuzschmerzen" hin, die bereits bei der zweiten Schwangerschaft 1990 aufgetreten seien. In Bezug auf die vierte Schwangerschaft gebe es in den Akten zudem nur einen Hinweis auf Blutungen in der Frühschwangerschaft. Diese könnten aber kaum eine Arbeitsunfähigkeit in der Spätschwangerschaft begründen. Andere gynäkologische Hinweise gebe es nicht, sodass der Zusammenhang mit den Rückenbeschwerden naheliege, zumal eine Schwangerschaft die Rückenproblematik erfahrungsgemäss begünstigen könne. Zusammenfassend sei somit festzuhalten, dass die Klägerin hinsichtlich ihrer vorbestehenden Rückenbeschwerden die Anzeigepflicht gemäss Art. 6 VVG verletzt habe.</w:t>
      </w:r>
    </w:p>
    <w:p>
      <w:r>
        <w:rPr>
          <w:b/>
        </w:rPr>
        <w:t>E. 3.3</w:t>
      </w:r>
    </w:p>
    <w:p>
      <w:r>
        <w:t>Die tatsächlichen Feststellungen des kantonalen Gerichts, welches auf die beiden erwähnten ärztlichen Berichte des Dr. med. S.________ und des PD Dr. med. R.________ abgestellt hat, sind nicht mangelhaft im Sinne von Art. 97 Abs. 1 BGG . Von einer willkürlichen Beweiswürdigung durch die Vorinstanz kann ebenfalls nicht gesprochen werden. Eine Beweiswürdigung ist nicht bereits willkürlich, wenn eine andere Lösung ebenfalls vertretbar erscheint oder gar vorzuziehen wäre, sondern erst, wenn der Entscheid offensichtlich unhaltbar ist, zur tatsächlichen Situation im klaren Widerspruch steht oder auf einem offenkundigen Fehler beruht ( BGE 127 I 54 E. 2b S. 56). So verhält es sich hier indessen nicht. In Betracht zu ziehen ist in diesem Zusammenhang, dass beide Arztberichte unabhängig voneinander in der Zeit vor dem Versicherungsantrag liegende Rückenbeschwerden erwähnen und die beiden Berichte lediglich zwei Monate nach dem letzten Arbeitstag am 16. Juni 1996 kurz nach Behandlungsbeginn erstellt worden sind. Zu diesem Zeitpunkt stand die Frage der Erwerbsunfähigkeit und die Anzeigepflichtverletzung noch nicht zur Diskussion. Es bestehen denn auch keine Anhaltspunkte, dass die beiden Ärzte die Aussagen der Beschwerdeführerin missverstanden haben könnten. Dass die Arbeitsunfähigkeitsbescheinigungen während der Schwangerschaft als Grund "Schwangerschaftskomplikationen" anführen, lässt die Schlussfolgerung von Dr. med. S.________, die Beschwerdeführerin sei wegen Rückenbeschwerden arbeitsunfähig geschrieben worden, nicht als aktenwidrig erscheinen. Zum einen können unter Schwangerschaftskomplikationen auch während der Schwangerschaft auftretende Rückenbeschwerden verstanden werden. Zum andern geht aus den ärztlichen Unterlagen hervor, dass die Beschwerdeführerin während der Schwangerschaft insgesamt 24 kg an Gewicht zunahm und ein Höchstgewicht von rund 103 kg erreichte. Eine Aktenwidrigkeit ergibt sich auch nicht daraus, dass die Beschwerdegegnerin im Schreiben vom 6. November 1996 die ärztlich attestierte Arbeitsunfähigkeit in die Ursachen Schwangerschaft (100 % vom 2. August 1995 bis 2. April 1996) und Rückenbeschwerden (100 % vom 17. Juni 1996 bis auf Weiteres) unterteilte. Schliesslich ändert auch angesichts seiner klaren Aussagen im Bericht vom 19. August 1996 nichts, dass Dr. med. S.________ im ärztlichen Zeugnis vom 23. August 1996 zuhanden der Kollektiv-Krankentaggeldversicherung die Frage nach früheren Krankheiten, Verletzungen oder Gebrechen von Bedeutung (Ziff. 2 lit. d) mit "keine" beantwortet hatte.</w:t>
      </w:r>
    </w:p>
    <w:p>
      <w:r>
        <w:rPr>
          <w:b/>
        </w:rPr>
        <w:t>E. 3.4</w:t>
      </w:r>
    </w:p>
    <w:p>
      <w:r>
        <w:t>Damit hat das kantonale Gericht verbindlich festgestellt, dass die Beschwerdeführerin im Zeitpunkt der Unterzeichnung des Versicherungsantrags im Januar 1996 und früher über einen längeren Zeitraum an Rückenbeschwerden gelitten hatte. Unter diesen Umständen verletzt die Schlussfolgerung der Vorinstanz, dass die Beschwerdeführerin hinsichtlich ihrer vorbestehenden Rückenbeschwerden die Anzeigepflicht verletzt hat, kein Bundesrecht. Die Beschwerdeführerin hätte die einfach und verständlich gehaltene Frage "Haben Sie oder hatten Sie jemals Rheumatismus, Ischias, Rückenbeschwerden, Erkrankungen oder Verletzungen der Wirbelsäule?" nicht mit Nein beantworten dürfen.</w:t>
      </w:r>
    </w:p>
    <w:p>
      <w:r>
        <w:rPr>
          <w:b/>
        </w:rPr>
        <w:t>E. 4</w:t>
      </w:r>
    </w:p>
    <w:p>
      <w:r>
        <w:t>Die Beschwerdeführerin macht des Weitern geltend, die Beschwerdegegnerin sei verspätet vom Versicherungsvertrag zurückgetreten.</w:t>
      </w:r>
    </w:p>
    <w:p>
      <w:r>
        <w:rPr>
          <w:b/>
        </w:rPr>
        <w:t>E. 4.1</w:t>
      </w:r>
    </w:p>
    <w:p>
      <w:r>
        <w:t>Gemäss Art. 6 VVG (in der bis Ende 2005 gültig gewesenen, hier anwendbaren Fassung; vgl. ab 1. Januar 2006: Art. 6 Abs. 1 und 2 VVG ) ist der Versicherer nicht an den Vertrag gebunden, wenn der Anzeigepflichtige beim Abschluss der Versicherung eine erhebliche Gefahrstatsache, die er kannte oder kennen musste, unrichtig mitgeteilt oder verschwiegen hat, und der Versicherer binnen vier Wochen, nachdem er von der Verletzung der Anzeigepflicht Kenntnis erhalten hat, vom Vertrage zurücktritt. Nach der Rechtsprechung beginnt die vierwöchige Frist ab dem Zeitpunkt zu laufen, ab welchem der Versicherer vollständig über die Anzeigepflichtverletzung orientiert ist, d.h. darüber sichere, zweifelsfreie Kenntnis erlangt hat ( BGE 118 II 340 E. 3a). Dieses Wissen kann er auch erlangen, wenn er zuverlässige Kunde von Tatsachen erhält, aus denen sich der sichere Schluss auf eine Verletzung der Anzeigepflicht ziehen lässt ( BGE 119 V 287 E. 5a). Eine juristische Person verfügt über rechtlich relevante Kenntnis eines Sachverhalts, wenn das betreffende Wissen innerhalb ihrer Organisation abrufbar ist ( BGE 109 II 342 f. E. 2b; Urteil 5C.104/2001 vom 21. August 2001; SVR 2004 BVG Nr. 15 S. 49).</w:t>
      </w:r>
    </w:p>
    <w:p>
      <w:r>
        <w:rPr>
          <w:b/>
        </w:rPr>
        <w:t>E. 4.2</w:t>
      </w:r>
    </w:p>
    <w:p>
      <w:r>
        <w:t>Das kantonale Gericht hat verbindlich festgestellt, dass die Beschwerdeführerin mit Schreiben vom 17. November 1998 die vorliegend strittige Ausrichtung einer Erwerbsunfähigkeitsrente angemeldet hatte. Am 1. Dezember 1998 habe die Beschwerdegegnerin die IV-Stelle um Einsicht in deren Akten ersucht. Am 10. Dezember 1998 seien die IV-Akten bei der Beschwerdegegnerin eingegangen. In diesen Akten hätten sich insbesondere das ärztliche Zeugnis von Dr. med. S.________ vom 23. August 1996 sowie sein Bericht vom 19. August 1996 befunden, in denen die seit mehreren Jahren bestehenden Kreuzschmerzen angegeben worden seien. Erst mit Einsichtnahme der IV-Akten habe die Beschwerdegegnerin im Sinne von Art. 6 VVG von der Verletzung der Anzeigepflicht Kenntnis erhalten. Die vierwöchige Frist zum Rücktritt vom Versicherungsvertrag habe am 11. Dezember 1998 zu laufen begonnen. Mit dem Rücktrittsschreiben vom 15. Dezember 1998 habe die Beschwerdegegnerin die Frist von Art. 6 VVG eingehalten. Diese tatsächlichen Feststellungen sind nicht mangelhaft im Sinne von Art. 97 Abs. 1 BGG und die entsprechende rechtliche Schlussfolgerung des rechtzeitigen Rücktritts vom Versicherungsvertrag ist bundesrechtskonform.</w:t>
      </w:r>
    </w:p>
    <w:p>
      <w:r>
        <w:rPr>
          <w:b/>
        </w:rPr>
        <w:t>E. 4.3</w:t>
      </w:r>
    </w:p>
    <w:p>
      <w:r>
        <w:t>Die Beschwerdeführerin kann nichts zu ihren Gunsten daraus ableiten, dass der Bericht des Dr. med. S.________ vom 19. August 1996 bereits im Zusammenhang mit der Krankentaggeldversicherung bei der Kollektivversicherungsabteilung der Beschwerdegegnerin eingereicht worden ist. Ebenfalls nicht bedeutsam ist, dass womöglich sowohl für die Kollektivlebensversicherung wie auch für die Einzellebensversicherung der gleiche ärztliche Dienst der Beschwerdegegnerin zuständig ist. Das kantonale Gericht hat in diesem Zusammenhang zu Recht festgehalten, dass eine solche Information, welche im Rahmen der Kollektiv-Krankentaggeldversicherung erfolgte, der Beschwerdegegnerin im Rahmen der Einzelversicherung für eine gebundene Vorsorge (Säule 3a) nicht zugerechnet werden könne. Entscheidend ist, dass im Unterschied zum erwähnten Urteil 5C.104/2001 vom 21. August 2001, wo dieselbe Person sowohl die Kollektivversicherung wie auch den Lebensversicherungsvertrag abgeschlossen hatte, hier die Arbeitgeberin der Beschwerdeführerin Vertragspartnerin des Kollektivversicherungsvertrags (vgl. auch BGE 122 V 81 ) und die Beschwerdeführerin Vertragspartnerin einzig des Einzellebensversicherungsvertrags war. Es ginge zu weit, auch in einem solchen Fall mit unterschiedlichen Vertragspartnern den Grundsatz der Wissenszurechnung unbesehen anzuwenden und die rechtlich relevante Kenntnis bereits im Zusammenhang mit der vom Arbeitgeber gemeldeten Arbeitsunfähigkeit für die Kollektivversicherung anzunehmen. Massgebend ist mithin, dass die Beschwerdeführerin im Rahmen des Versicherungsvertrags über eine gebundene Vorsorgeversicherung nach Art. 82 BVG erstmals am 17. November 1998 an die Beschwerdegegnerin gelangt ist und sich für die Ausrichtung einer Erwerbsunfähigkeitsrente angemeldet hat. Erst zu diesem Zeitpunkt hatte die Beschwerdegegnerin aufgrund eines konkreten Leistungsbegehrens im Rahmen der Säule 3a Anlass zur Prüfung der Frage einer allfälligen Anzeigepflichtverletzung.</w:t>
      </w:r>
    </w:p>
    <w:p>
      <w:r>
        <w:rPr>
          <w:b/>
        </w:rPr>
        <w:t>E. 5</w:t>
      </w:r>
    </w:p>
    <w:p>
      <w:r>
        <w:t>Schliesslich bringt die Beschwerdeführerin vor, die Rücktrittserklärung vom 15. Dezember 1998 sei ungenügend präzise gewesen und als solche damit ungültig (Hinweis auf BGE 129 III 713 ).</w:t>
      </w:r>
    </w:p>
    <w:p>
      <w:r>
        <w:rPr>
          <w:b/>
        </w:rPr>
        <w:t>E. 5.1</w:t>
      </w:r>
    </w:p>
    <w:p>
      <w:r>
        <w:t>Nach der Rechtsprechung muss die Rücktrittserklärung, um beachtlich zu sein, ausführlich auf die verschwiegene oder ungenau mitgeteilte Gefahrstatsache hinweisen. Eine Rücktrittserklärung, welche die ungenau beantwortete Frage nicht erwähnt, erfüllt diese Anforderung nicht ( BGE 129 III 713 E. 2.1 S. 714 mit Hinweisen; Urteil 4A_488/2007 vom 5. Februar 2008 E. 3.1).</w:t>
      </w:r>
    </w:p>
    <w:p>
      <w:r>
        <w:rPr>
          <w:b/>
        </w:rPr>
        <w:t>E. 5.2</w:t>
      </w:r>
    </w:p>
    <w:p>
      <w:r>
        <w:t>Das kantonale Gericht hat verbindlich festgestellt, dass die Beschwerdegegnerin im Rücktrittsschreiben vom 15. Dezember 1998 ihren Rücktritt damit begründet, dass vor allem die Fragen 2b, 3a und 10f des Antrags nicht korrekt beantwortet seien. Die Beschwerdegegnerin habe mit dem Hinweis darauf, dass die Versicherte die Frage 10f ("Haben Sie oder hatten Sie jemals an ... Rückenbeschwerden ... gelitten?") nicht korrekt beantwortet habe, dennoch mit der gebotenen Klarheit auf die unrichtige respektive verschwiegene Tatsache hingewiesen. Diese Schlussfolgerung ist ebenfalls nicht bundesrechtswidrig. In der Anmeldung vom 17. November 1998 hat die Beschwerdeführerin Leistungen bei Erwerbs- bzw. Arbeitsunfähigkeit infolge Krankheit beansprucht und als Leiden "Rückenleiden, Diskushernie" angegeben. Damit war für die Beschwerdeführerin ersichtlich, was die Beschwerdegegnerin ihr vorwarf, da die Frage 10f eben gerade ausdrücklich auch Rückenbeschwerden zum Inhalt hatte. Dass die Rücktrittserklärung vom 15. Dezember 1998 das Rückenleiden nicht ausdrücklich erwähnte, ändert daran nichts (vgl. erwähntes Urteil 4A_488/2007 vom 5. Februar 2008, E. 3.2). Das kantonale Gericht hat Art. 6 aVVG nicht verletzt, als es die Rücktrittserklärung vom 15. Dezember 1998 für hinreichend klar erachtete.</w:t>
      </w:r>
    </w:p>
    <w:p>
      <w:r>
        <w:rPr>
          <w:b/>
        </w:rPr>
        <w:t>E. 6</w:t>
      </w:r>
    </w:p>
    <w:p>
      <w:r>
        <w:t>Die unterliegende Beschwerdeführerin trägt die Gerichtskosten ( Art. 66 Abs. 1 BGG ). Der nicht anwaltlich vertretenen Beschwerdegegnerin steht keine Parteientschädigung zu (vgl. auch Art. 68 Abs. 3 BGG ; BGE 128 V 124 E. 5b S. 133 f.,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