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9C_197/2007 vom 27. März 2008</w:t>
      </w:r>
    </w:p>
    <w:p>
      <w:r>
        <w:t>Bundesgericht, 2008-03-27, FR</w:t>
      </w:r>
    </w:p>
    <w:p>
      <w:r>
        <w:rPr>
          <w:b/>
        </w:rPr>
        <w:t xml:space="preserve">Quelle: </w:t>
      </w:r>
      <w:r>
        <w:t>https://mcp.opencaselaw.ch/entscheid/bger_9C_197_2007</w:t>
      </w:r>
    </w:p>
    <w:p>
      <w:r>
        <w:t>FR: TF 9C_197/2007 du 27 mars 2008</w:t>
      </w:r>
    </w:p>
    <w:p>
      <w:r>
        <w:t>IT: TF 9C_197/2007 del 27 marzo 2008</w:t>
      </w:r>
    </w:p>
    <w:p>
      <w:pPr>
        <w:pStyle w:val="Heading2"/>
      </w:pPr>
      <w:r>
        <w:t>Erwägungen</w:t>
      </w:r>
    </w:p>
    <w:p>
      <w:r>
        <w:rPr>
          <w:b/>
        </w:rPr>
        <w:t>E. 1.1</w:t>
      </w:r>
    </w:p>
    <w:p>
      <w:r>
        <w:t>Le Tribunal fédéral examine d'office et librement la recevabilité des recours qui lui sont soumis ( ATF 133 III 489 consid. 3; 132 III 291 consid. 1 p. 292).</w:t>
      </w:r>
    </w:p>
    <w:p>
      <w:r>
        <w:rPr>
          <w:b/>
        </w:rPr>
        <w:t>E. 1.2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131 V 164 consid. 2.1 p. 164; 125 V 413 consid. 1b et 2 p. 414 et les références citées; pour la procédure d'opposition: ATF 119 V 347 ;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122 V 242 consid. 2a p. 244; 117 V 294 consid. 2a p. 295; 112 V 97 consid. 1a p. 99; 110 V 48 consid. 3c p. 51 et les références; voir également ATF 122 V 34 consid. 2a p. 36).</w:t>
      </w:r>
    </w:p>
    <w:p>
      <w:r>
        <w:rPr>
          <w:b/>
        </w:rPr>
        <w:t>E. 1.3</w:t>
      </w:r>
    </w:p>
    <w:p>
      <w:r>
        <w:t>Par sa décision sur opposition du 10 janvier 2006 - qui détermine l'objet de la contestation -, l'office AI a statué sur deux rapports juridiques bien distincts, à savoir, d'une part, le refus du droit à une rente d'invalidité et, d'autre part, le refus du droit à des mesures d'ordre professionnel. Le recours formé par la recourante devant le Tribunal cantonal des assurances sociales ne portait que sur la question du droit à la rente, à l'exclusion de la question du droit à des mesures d'ordre professionnel. Dans la mesure où la décision litigieuse n'avait pas été attaquée devant la juridiction cantonale sur ce second point, elle était entrée en force. Les premiers juges ne pouvaient par conséquent examiner cette question de leur propre chef. Il s'ensuit que la conclusion prise par la recourante en procédure fédérale tendant à l'octroi d'une mesure d'ordre professionnel sort de l'objet du litige et n'est pas recevable. Est seul litigieux en l'espèce le droit de la recourante à une rente d'invalidité.</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pas ou plus discutées devant lui.</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sinon il n'est pas possible de tenir compte d'un état de fait qui diverge de celui contenu dans la décision attaquée ( ATF 133 II 249 consid. 1.4.3 p. 254; 133 IV 150 consid. 1.3 p. 152).</w:t>
      </w:r>
    </w:p>
    <w:p>
      <w:r>
        <w:rPr>
          <w:b/>
        </w:rPr>
        <w:t>E. 2.3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3.1</w:t>
      </w:r>
    </w:p>
    <w:p>
      <w:r>
        <w:t>Le Tribunal cantonal des assurances sociales a constaté, en se fondant sur les conclusions de l'examen bidisciplinaire effectué par le SMR et en écartant les autres pièces médicales versées au dossier, que la recourante pouvait exercer à plein temps une activité adaptée à ses limitations fonctionnelles. La comparaison des revenus avec et sans invalidité permettait d'aboutir à un degré d'invalidité de 25 % ne donnant pas droit à une rente.</w:t>
      </w:r>
    </w:p>
    <w:p>
      <w:r>
        <w:rPr>
          <w:b/>
        </w:rPr>
        <w:t>E. 3.2</w:t>
      </w:r>
    </w:p>
    <w:p>
      <w:r>
        <w:t>Le Tribunal cantonal des assurances sociales - aux considérants desquels il peut être renvoyé - a expliqué de manière circonstanciée les raisons pour lesquelles les pièces médicales versées au dossier n'étaient pas susceptibles de remettre en cause les conclusions convaincantes et motivées du SMR. Les griefs de la recourante n'ont d'ailleurs pas pour objet d'établir concrètement que l'appréciation des premiers juges serait manifestement inexacte, voire insoutenable. Celle-ci se contente de remarques d'ordre général, en laissant apparemment le soin à la Cour de céans de vérifier le bien-fondé de ses allégations. Sous l'empire de la LTF, pareille argumentation n'est cependant pas suffisante. Compte tenu de son pouvoir d'examen restreint (cf. supra consid. 1.2),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limitant à arguer que l'appréciation de la capacité de travail retenue par les médecins traitants était bien plus réaliste que celle retenue par l'office AI, la recourante n'explique pas les raisons pour lesquelles elle estime que l'opinion de ses médecins traitants serait objectivement mieux fondée que celle du SMR. De même ne motive-t-elle pas concrètement ce qui la conduit à penser que les activités retenues par l'office AI ne seraient pas exigibles de sa part au regard des limitations fonctionnelles reconnues.</w:t>
      </w:r>
    </w:p>
    <w:p>
      <w:r>
        <w:rPr>
          <w:b/>
        </w:rPr>
        <w:t>E. 3.3</w:t>
      </w:r>
    </w:p>
    <w:p>
      <w:r>
        <w:t>Quant aux critiques formulées à l'encontre de la méthode choisie pour fixer le revenu d'invalide (données statistiques résultant des enquêtes sur la structure des salaires de l'Office fédéral de la statistique) et de l'étendue de l'abattement sur le salaire statistique, elles ne laissent pas apparaître que le Tribunal cantonal des assurances sociales aurait violé le droit fédéral ( ATF 129 V 472 consid. 4.2.1 p. 475), respectivement abusé de son pouvoir d'appréciation ( ATF 132 V 393 consid. 3.3 p. 399).</w:t>
      </w:r>
    </w:p>
    <w:p>
      <w:r>
        <w:rPr>
          <w:b/>
        </w:rPr>
        <w:t>E. 4</w:t>
      </w:r>
    </w:p>
    <w:p>
      <w:r>
        <w:t>Mal fondé, le recours doit être rejeté dans la mesure de sa recevabilité. La recourante,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