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194/2024 vom 8. Mai 2024</w:t>
      </w:r>
    </w:p>
    <w:p>
      <w:r>
        <w:t>Bundesgericht, 2024-05-08, DE</w:t>
      </w:r>
    </w:p>
    <w:p>
      <w:r>
        <w:rPr>
          <w:b/>
        </w:rPr>
        <w:t xml:space="preserve">Quelle: </w:t>
      </w:r>
      <w:r>
        <w:t>https://mcp.opencaselaw.ch/entscheid/bger_9C_194_2024</w:t>
      </w:r>
    </w:p>
    <w:p>
      <w:r>
        <w:t>FR: TF 9C 194/2024 du 8 mai 2024</w:t>
      </w:r>
    </w:p>
    <w:p>
      <w:r>
        <w:t>IT: TF 9C 194/2024 del 8 maggio 2024</w:t>
      </w:r>
    </w:p>
    <w:p>
      <w:pPr>
        <w:pStyle w:val="Heading2"/>
      </w:pPr>
      <w:r>
        <w:t>Regeste</w:t>
      </w:r>
    </w:p>
    <w:p>
      <w:r>
        <w:t>Staats- und Gemeindesteuern des Kantons Luzern und direkte Bundessteuer, Steuerperioden 2020 und 2021 | Öffentliche Finanzen &amp; Abgaberecht</w:t>
      </w:r>
    </w:p>
    <w:p>
      <w:pPr>
        <w:pStyle w:val="Heading2"/>
      </w:pPr>
      <w:r>
        <w:t>Erwägungen</w:t>
      </w:r>
    </w:p>
    <w:p>
      <w:r>
        <w:rPr>
          <w:b/>
        </w:rPr>
        <w:t>E. 1.1</w:t>
      </w:r>
    </w:p>
    <w:p>
      <w:r>
        <w:t>Mit Verfügung vom 23. Februar 2024 wies das Kantonsgericht Luzern die Gesuche um unentgeltliche Prozessführung und unentgeltliche Rechtsverbeiständung in zwei Verfahren betreffend Staats- und Gemeindesteuern sowie direkte Bundessteuer der Jahre 2020 und 2021 des (damaligen) Ehepaars A.________ ab.</w:t>
      </w:r>
    </w:p>
    <w:p>
      <w:r>
        <w:rPr>
          <w:b/>
        </w:rPr>
        <w:t>E. 1.2</w:t>
      </w:r>
    </w:p>
    <w:p>
      <w:r>
        <w:t>Der hiergegen beim Kantonsgericht Luzern eingereichte "Einspruch" von A.________ wurde zuständigkeitshalber an das Bundesgericht weitergeleitet.</w:t>
      </w:r>
    </w:p>
    <w:p>
      <w:r>
        <w:rPr>
          <w:b/>
        </w:rPr>
        <w:t>E. 2.1</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134 V 53 E. 3.3 und 133 V 286 E. 1.4). Rein appellatorische Kritik genügt nicht ( BGE 145 I 26 E. 1.3; 140 III 264 E. 2.3).</w:t>
      </w:r>
    </w:p>
    <w:p>
      <w:r>
        <w:rPr>
          <w:b/>
        </w:rPr>
        <w:t>E. 2.2</w:t>
      </w:r>
    </w:p>
    <w:p>
      <w:r>
        <w:t>Die Beschwerdeführerin lässt es gänzlich vermissen, auf die Erwägungen der Vorinstanz einzugehen und darzulegen, inwiefern diese Recht verletzte. Stattdessen beschränkt sie sich auf die Schilderung ihrer finanziellen Lage.</w:t>
      </w:r>
    </w:p>
    <w:p>
      <w:r>
        <w:rPr>
          <w:b/>
        </w:rPr>
        <w:t>E. 2.3</w:t>
      </w:r>
    </w:p>
    <w:p>
      <w:r>
        <w:t>Mangels hinreichender Begründung ist auf die Beschwerde nicht einzutreten, was durch einzelrichterlichen Entscheid im vereinfachten Verfahren zu geschehen hat (Art. 42 Abs. 2 in Verbindung mit Art. 108 Abs. 1 lit. b und Abs. 2 BGG ).</w:t>
      </w:r>
    </w:p>
    <w:p>
      <w:r>
        <w:rPr>
          <w:b/>
        </w:rPr>
        <w:t>E. 3</w:t>
      </w:r>
    </w:p>
    <w:p>
      <w:r>
        <w:t>Ausgangsgemäss sind die Gerichtskosten grundsätzlich der Beschwerdeführerin aufzuerlegen ( Art. 65 und Art. 66 Abs. 1 BGG ). Auf die Erhebung von Gerichtskosten wird vorliegend jedoch umständehalber verzichtet ( Art. 66 Abs. 1 Satz 2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