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 194/2023 vom 4. November 2022</w:t>
      </w:r>
    </w:p>
    <w:p>
      <w:r>
        <w:t>Bundesgericht, 2022-11-04, IT</w:t>
      </w:r>
    </w:p>
    <w:p>
      <w:r>
        <w:rPr>
          <w:b/>
        </w:rPr>
        <w:t xml:space="preserve">Quelle: </w:t>
      </w:r>
      <w:r>
        <w:t>https://mcp.opencaselaw.ch/entscheid/bger_9C_194_2023</w:t>
      </w:r>
    </w:p>
    <w:p>
      <w:r>
        <w:t>FR: TF 9C 194/2023 du 4 novembre 2022</w:t>
      </w:r>
    </w:p>
    <w:p>
      <w:r>
        <w:t>IT: TF 9C 194/2023 del 4 novembre 2022</w:t>
      </w:r>
    </w:p>
    <w:p>
      <w:pPr>
        <w:pStyle w:val="Heading2"/>
      </w:pPr>
      <w:r>
        <w:t>Regeste</w:t>
      </w:r>
    </w:p>
    <w:p>
      <w:r>
        <w:t>Assicurazione per l'invalidità (presupposto processuale) | Assicurazione per l'invalidità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Non si prelevano spese giudiziarie.</w:t>
      </w:r>
    </w:p>
    <w:p>
      <w:r>
        <w:rPr>
          <w:b/>
        </w:rPr>
        <w:t>E. 3</w:t>
      </w:r>
    </w:p>
    <w:p>
      <w:r>
        <w:t>Comunicazione alle parti, al Tribunale delle assicurazioni del Cantone Ticino e all'Ufficio federale delle assicurazioni sociali. Lucerna, 1° maggio 2023 In nome della III Corte di diritto pubblico del Tribunale federale svizzero Il Presidente: Parrino La Cancelliera: Cometta Rizzi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