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9C_194/2015 vom 30. Oktober 2015</w:t>
      </w:r>
    </w:p>
    <w:p>
      <w:r>
        <w:t>Bundesgericht, 2015-10-30, FR</w:t>
      </w:r>
    </w:p>
    <w:p>
      <w:r>
        <w:rPr>
          <w:b/>
        </w:rPr>
        <w:t xml:space="preserve">Quelle: </w:t>
      </w:r>
      <w:r>
        <w:t>https://mcp.opencaselaw.ch/entscheid/bger_9C_194_2015</w:t>
      </w:r>
    </w:p>
    <w:p>
      <w:r>
        <w:t>FR: TF 9C_194/2015 du 30 octobre 2015</w:t>
      </w:r>
    </w:p>
    <w:p>
      <w:r>
        <w:t>IT: TF 9C_194/2015 del 30 ottobre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la suppression, par la voie de la reconsidération, de la demi-rente d'invalidité allouée au recourant par décision du 4 octobre 2000.</w:t>
      </w:r>
    </w:p>
    <w:p>
      <w:r>
        <w:rPr>
          <w:b/>
        </w:rPr>
        <w:t>E. 2.2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9C_575/2007 du 18 octobre 2007 consid. 2.2; arrêt I 907/06 du 7 mai 2007 consid. 3.2.1).</w:t>
      </w:r>
    </w:p>
    <w:p>
      <w:r>
        <w:rPr>
          <w:b/>
        </w:rPr>
        <w:t>E. 3.1</w:t>
      </w:r>
    </w:p>
    <w:p>
      <w:r>
        <w:t>La juridiction cantonale a admis que l'administration n'avait pas violé le droit en reconsidérant la décision du 4 octobre 2000, par laquelle l'intimé avait alloué au recourant une demi-rente d'invalidité à compter du 1</w:t>
      </w:r>
    </w:p>
    <w:p>
      <w:r>
        <w:t>er mai 2000, et en supprimant le droit à la rente à compter du 1</w:t>
      </w:r>
    </w:p>
    <w:p>
      <w:r>
        <w:t>er mai 2014. Elle a en particulier considéré que l'erreur manifeste commise par l'administration lors de l'instruction menée à l'époque procédait de ce que l'état de fait n'avait pas été suffisamment établi. Le taux d'invalidité de l'assuré avait été calculé selon une incapacité de travail fixée par les médecins à 50 % dans l'activité habituelle, sans que la question de la capacité de travail dans une autre activité et d'un changement de profession voire d'une réadaptation professionnelle n'eût été examinée. L'intimé avait donc fait une application non conforme au droit des dispositions en matière d'évaluation de l'invalidité, de sorte que sa décision initiale aboutissait à un octroi manifestement erroné de prestations.</w:t>
      </w:r>
    </w:p>
    <w:p>
      <w:r>
        <w:rPr>
          <w:b/>
        </w:rPr>
        <w:t>E. 3.2</w:t>
      </w:r>
    </w:p>
    <w:p>
      <w:r>
        <w:t>Contrairement à ce que prétend le recourant, les observations du docteur E.________, spécialiste en neurologie (rapports des 21 décembre 1999, 10 février et 8 mai 2000), sur lesquelles s'était fondée l'administration à l'époque, ne se prononçaient pas sur l'activité adaptée que l'assuré aurait pu exercer. La question de l'exigibilité d'un éventuel changement d'activité n'avait pas été traitée par les médecins au moment de la décision initiale de rente. Le docteur E.________ ne s'était exprimé que sur la possibilité d'exercer l'activité alors effectuée par l'assuré à 50 % («Nach schilderung des Tagesablaufs des Patienten in seinem Umfeld als Erzieher ...»; «... sieht er in seinem jetzigen Beruf ...») en reprenant largement les plaintes du patient. Se fondant sur ces rapports, l'intimé avait fixé l'invalidité à 50 %, ce qui donnait lieu à l'octroi d'une demi-rente d'invalidité à partir du 1er mai 2000. L'administration a considéré que le recourant, incapable de travailler à 50 %, n'était en mesure de réaliser que la moitié du gain qu'il aurait obtenu sans atteinte à la santé. Elle était suffisamment informée sur la nature des troubles de l'assuré ainsi que sur leurs conséquences sur la capacité de gain dans la profession habituelle d'éducateur spécialisé. Elle n'a cependant pas cherché à savoir si une autre activité était réalisable et exigible à un taux plus élevé que 50 %. Cette démarche s'imposait pourtant dès lors que le docteur E.________ avait préconisé des mesures d'ordre professionnel. Comme l'ont justement relevé les premiers juges, même s'il était admis que le recourant pouvait ressentir des douleurs aux genoux dans certains mouvements ou en adoptant certaines positions (parcours de plus de 10 minutes de marche, escaliers, position assise sans bouger ou accroupie), il n'était en revanche pas étayé que ces douleurs empêchaient une présence de plus d'un demi-horaire, même dans un emploi exercé surtout en position assise. Au surplus, contrairement à ce qu'allègue l'assuré, il s'agissait déjà en l'an 2000 d'examiner non seulement la capacité de travail dans une activité habituelle mais aussi dans une activité adaptée ( art. 28 al. 2 LAI dans sa version en vigueur jusqu'au 31 décembre 2002).</w:t>
      </w:r>
    </w:p>
    <w:p>
      <w:r>
        <w:t>En ce qui concerne le changement de jurisprudence sur le caractère contraignant de la décision d'un assureur social par rapport à l'évaluation de l'invalidité d'une personne par un autre assureur social, il convient de constater qu'à l'époque de la décision initiale, le deuxième assureur n'était pas lié par l'évaluation du premier lorsque le degré d'invalidité reconnu lui paraissait insoutenable. En l'occurrence, dans la mesure où l'assureur-accidents n'avait pas examiné, dans sa décision du 14 avril 2000, la possibilité pour le recourant d'exercer une autre activité que celle d'éducateur, sa décision ne liait pas l'intimé (cf. arrêt U 12/00 du 21 août 2000, in RAMA 2000 n° U 402 p. 390 consid. 4a).</w:t>
      </w:r>
    </w:p>
    <w:p>
      <w:r>
        <w:rPr>
          <w:b/>
        </w:rPr>
        <w:t>E. 3.3</w:t>
      </w:r>
    </w:p>
    <w:p>
      <w:r>
        <w:t>Au vu de ce qui précède, la décision du 4 octobre 2000 n'était pas conforme à la loi, parce qu'elle reposait sur une instruction lacunaire. L'administration a manqué de récolter des informations supplémentaires auprès des intervenants de l'époque pour déterminer s'il existait une activité adaptée à l'état de santé du recourant, qui lui aurait permis de mettre mieux en valeur sa capacité de travail que dans sa profession habituelle, dans laquelle il s'estimait incapable de travailler à plus de 50 %. Il n'y a dès lors pas lieu de s'écarter des constatations de la juridiction cantonale quant au caractère manifestement erroné de la décision initiale.</w:t>
      </w:r>
    </w:p>
    <w:p>
      <w:r>
        <w:t>Pour le reste, l'assuré ne remet pas en question les constatations du tribunal cantonal sur la situation prévalant au moment de la décision de suppression du 13 mars 2014, ni sur le taux d'invalidité qui en résulte. Ces constatations lient le Tribunal fédéral. Mal fondé, le recours doit partant être rejeté.</w:t>
      </w:r>
    </w:p>
    <w:p>
      <w:r>
        <w:rPr>
          <w:b/>
        </w:rPr>
        <w:t>E. 4</w:t>
      </w:r>
    </w:p>
    <w:p>
      <w:r>
        <w:t>Etant donné l'issue du litige, les frais judiciaires sont mis à la charge du recourant (art. 66 al. 1 première phrase LTF)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