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194/2008 vom 6. Oktober 2008</w:t>
      </w:r>
    </w:p>
    <w:p>
      <w:r>
        <w:t>Bundesgericht, 2008-10-06, DE</w:t>
      </w:r>
    </w:p>
    <w:p>
      <w:r>
        <w:rPr>
          <w:b/>
        </w:rPr>
        <w:t xml:space="preserve">Quelle: </w:t>
      </w:r>
      <w:r>
        <w:t>https://mcp.opencaselaw.ch/entscheid/bger_9C_194_2008</w:t>
      </w:r>
    </w:p>
    <w:p>
      <w:r>
        <w:t>FR: TF 9C 194/2008 du 6 octobre 2008</w:t>
      </w:r>
    </w:p>
    <w:p>
      <w:r>
        <w:t>IT: TF 9C 194/2008 del 6 ottobre 2008</w:t>
      </w:r>
    </w:p>
    <w:p>
      <w:pPr>
        <w:pStyle w:val="Heading2"/>
      </w:pPr>
      <w:r>
        <w:t>Regeste</w:t>
      </w:r>
    </w:p>
    <w:p>
      <w:r>
        <w:t>Berufliche Vorsorge | Berufliche Vorsorge</w:t>
      </w:r>
    </w:p>
    <w:p>
      <w:pPr>
        <w:pStyle w:val="Heading2"/>
      </w:pPr>
      <w:r>
        <w:t>Erwägungen</w:t>
      </w:r>
    </w:p>
    <w:p>
      <w:r>
        <w:rPr>
          <w:b/>
        </w:rPr>
        <w:t>E. 1</w:t>
      </w:r>
    </w:p>
    <w:p>
      <w:r>
        <w:t>Streitig ist die Leistungspflicht der Beschwerdegegnerin im Bereich der weitergehenden beruflichen Vorsorge ( Art. 49 BVG ). Hiefür ist die II. sozialrechtliche Abteilung des Bundesgerichts zuständig (Art. 35 lit. e des Reglementes für das Bundesgericht vom 20. November 2006 [SR 173.110.131] in Verbindung mit Art. 49 und Art. 73 BVG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4 Wochen ( Art. 6 VVG in der bis Ende Dezember 2005 gültig gewesenen Fassung; vgl. auch E. 3.4) seit Kenntnis der Anzeigepflichtverletzung vom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283 E. 4 und 5 S. 286 ff.). In den Urteilen R. vom 17. Dezember 2001 (B 69/00) und H. vom 26. November 2001 (B 41/00)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w:t>
      </w:r>
    </w:p>
    <w:p>
      <w:r>
        <w:rPr>
          <w:b/>
        </w:rPr>
        <w:t>E. 3.1.1</w:t>
      </w:r>
    </w:p>
    <w:p>
      <w:r>
        <w:t>Gemäss Art. 4 VVG hat der Antragsteller dem Versicherer anhand eines Fragebogens oder auf sonstiges schriftliches Befragen alle für die Beurteilung der Gefahr erheblichen Tatsachen, soweit und so wie sie ihm beim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rPr>
          <w:b/>
        </w:rPr>
        <w:t>E. 3.1.2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 BGE 116 V 218 E. 5a S. 226 f. mit zahlreichen Hinweisen auf Lehre und Rechtsprechung; Urteil 9C_99/2008 vom 3. Juli 2008, E. 3.3.2; vgl. auch BGE 118 II 333 E. 2a S. 336; 116 II 338 E. 1a S. 339, je mit Hinweisen; Urteil B 42/96 vom 14. Mai 1997, E. 3, publ. in: SZS 1998, S. 375).</w:t>
      </w:r>
    </w:p>
    <w:p>
      <w:r>
        <w:rPr>
          <w:b/>
        </w:rPr>
        <w:t>E. 3.1.3</w:t>
      </w:r>
    </w:p>
    <w:p>
      <w:r>
        <w:t>Im Unterschied zum vertraglich vereinbarten Rechtsnachteil bei der Verletzung einer Obliegenheit gemäss Art. 45 Abs. 1 VVG fällt die Frage nach dem Verschulden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118 II 333 E. 2b S. 337; 116 II 338 E. 1c S. 341, 116 V 218 E. 5b S. 227 f.; Urteil B 42/96 vom 14. Mai 1997, E. 3b, publ. in: SVR 1997 BVG Nr. 81 S. 249; erwähntes Urteil 9C_99/2008 E. 3.3.3).</w:t>
      </w:r>
    </w:p>
    <w:p>
      <w:r>
        <w:rPr>
          <w:b/>
        </w:rPr>
        <w:t>E. 3.1.4</w:t>
      </w:r>
    </w:p>
    <w:p>
      <w:r>
        <w:t>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(Alfred Maurer, Schweizerisches Privatversicherungsrecht, 3. Aufl., Bern 1995, S. 253; vgl. Urs Ch. Nef, in: Honsell/Vogt/Schnyder [Hrsg.], Basler Kommentar, Bundesgesetz über den Versicherungsvertrag [VVG], Basel 2001, N 50 zu Art. 4).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 BGE 106 V 170 E. 3b S. 174 betreffend Art. 5 Abs. 3 des bis 31. Dezember 1994 in Kraft gewesenen Bundesgesetzes über die Krankenversicherung [KUVG] vom 13. Juni 1911, das eine dem Art. 4 VVG weitgehend analoge, allerdings verschuldensabhängige Regelung der Anzeigepflichtverletzung kannte; erwähntes Urteil 9C_99/2008 E. 3.3.4; vgl. auch BGE 116 II 338 E. 1b S. 340).</w:t>
      </w:r>
    </w:p>
    <w:p>
      <w:r>
        <w:rPr>
          <w:b/>
        </w:rPr>
        <w:t>E. 3.2</w:t>
      </w:r>
    </w:p>
    <w:p>
      <w:r>
        <w:t>Das kantonale Gericht stellte in tatsächlicher Hinsicht fest, dass der Beschwerdeführer im Zeitpunkt der Unterzeichnung des Formulars "Erweiterte Gesundheitsprüfung" am 13. April 2002 an gesundheitlichen Störungen ("Essstörung, danach kompensierter Zustand") litt, welche wahrscheinlich seit 1988 bestünden, dass er vom 14. bis 30. September 2000 in der Psychiatrischen Klinik Z.________ hospitalisiert gewesen sei und dass er wiederholt beim Psychiater Dr. med. R.________ in Behandlung gewesen sei. Das kantonale Gericht kam zum Schluss, der Beschwerdeführer habe damit die Frage 1 auf dem am 2. April 2002 unterzeichneten Anmeldeformular ("Hatten Sie in den letzten fünf Jahren vor Versicherungsbeginn gesundheitliche Störungen, die zu einer Arbeitsunfähigkeit von mehr als 3 Wochen führten, oder haben Sie gegenwärtig gesundheitliche Störungen?") wahrheitswidrig verneint. Er habe auch die Frage 2 ("Sind Sie gegenwärtig in ärztlicher und/oder psychotherapeutischer Behandlung und/oder in der Behandlung eines Chiropraktikers?") nicht wahrheitsgemäss beantwortet, da er seit 1986 in ambulanter Behandlung bei seinem Hausarzt stehe und wiederholt und damit mit einer gewissen Regelmässigkeit den Psychiater Dr. med. R.________ aufgesucht habe. Schliesslich habe er auch die Frage 2 der erweiterten Gesundheitsprüfung vom 13. April 2002 ("Weilten Sie in den letzten 5 Jahren zur Behandlung in einem Spital, Sanatorium oder Kurhaus, oder ist eine stationäre Behandlung vorgesehen?") wahrheitswidrig verneint, weil er den wegen seiner schweren psychischen Problematik erforderlichen Aufenthalt vom 14. bis 30. September 2000 in der Psychiatrischen Klinik Z.________ nicht erwähnt habe.</w:t>
      </w:r>
    </w:p>
    <w:p>
      <w:r>
        <w:rPr>
          <w:b/>
        </w:rPr>
        <w:t>E. 3.3</w:t>
      </w:r>
    </w:p>
    <w:p>
      <w:r>
        <w:t>Die Tatsachenfeststellung des kantonalen Gerichts, wonach der Beschwerdeführer im Zeitpunkt der Gesundheitsdeklaration im April 2002 an einer (kompensierten) Essstörung litt, seit 1986 in ambulanter Behandlung bei seinem Hausarzt stand und wiederholt den Psychiater Dr. med. R.________ aufsuchte sowie sich vom 14. bis 30. September 2000 in stationärer psychiatrischer Behandlung befand, ist für das Bundesgericht verbindlich (E. 2.2 hievor) und wird vom Beschwerdeführer auch nicht als offensichtlich unrichtig oder als unvollständig gerügt. Gestützt auf die Tatsachenfeststellungen hat das kantonale Gericht die Rechtsprechung zur Verletzung der Anzeigepflicht (E. 3.1 hievor) und deren Folgen im Bereich der weitergehenden beruflichen Vorsorge korrekt angewendet. Damit liegt kein Rechtsfehler vor ( Art. 95 lit. a BGG ). Daran ändern sämtliche Einwendungen in der Beschwerde nichts. Das wiederholte Aufsuchen eines Arztes - was hier für den Hausarzt und den Psychiater zutrifft - ist Ausdruck eines gewissen Leidensdruckes und damit der Krankheitswertigkeit des geklagten Zustandes. Der Beschwerdeführer übersieht, dass aufgrund der gestellten Fragen eine Meldepflicht bestand, auch wenn die Krankheit im Zeitpunkt der Beantwortung der Fragen keinen Einfluss auf die Arbeitsfähigkeit hatte und die Essstörung im damaligen Zeitpunkt kompensiert war. Schliesslich musste er an sich auch den im Rahmen eines fürsorgerischen Freiheitsentzuges erfolgten Klinikaufenthalt im September 2000 erwähnen, selbst unter Berücksichtigung seiner als Schutzbehauptung zu qualifizierenden Darstellung, dass während der stationären Unterbringung keine ärztliche Behandlung erfolgte, was aber nach der gesamten Aktenlage völlig unwahrscheinlich ist. Indessen ist dieser Punkt für die Verschweigung und den darauf gestützten Rücktritt vom Vertrag nicht entscheidend.</w:t>
      </w:r>
    </w:p>
    <w:p>
      <w:r>
        <w:rPr>
          <w:b/>
        </w:rPr>
        <w:t>E. 3.4</w:t>
      </w:r>
    </w:p>
    <w:p>
      <w:r>
        <w:t>Kein anderes Ergebnis zeitigte die Anwendung des Art. 6 VVG in der seit 1. Januar 2006 geltenden Fassung, ist doch der Schaden im Sinne des Abs. 3 dieser Bestimmung durch die nicht angezeigte Gefahrstatsache beeinflusst worden: Nach der gesamten Aktenlage ist die Krankheit, an welcher der Beschwerdeführer leidet und die sich seit Jahren in einer schweren Essstörung manifestiert, die medizinische Wurzel seiner Invalidität.</w:t>
      </w:r>
    </w:p>
    <w:p>
      <w:r>
        <w:rPr>
          <w:b/>
        </w:rPr>
        <w:t>E. 4.1</w:t>
      </w:r>
    </w:p>
    <w:p>
      <w:r>
        <w:t>Der Beschwerdeführer hat als unterliegende Partei die Gerichtskosten zu tragen ( Art. 66 Abs. 1 BGG ). Angesichts eines Barvermögens per Ende Dezember 2007, das betraglich weit über einem allfällig zu berücksichtigenden Vermögensfreibetrag (sog. Notgroschen) liegt (vgl. dazu die Urteile 4P.313/2007 vom 14. Februar 2007 [E. 3.3] und B 52/02 vom 20. Dezember 2002 [E. 5.3, auszugsweise publiziert in SZS 2003 S. 522 f.]), ist die Voraussetzung der Bedürftigkeit auch unter den geltend gemachten persönlichen Verhältnissen klar nicht erfüllt ( Art. 64 Abs. 1 und 2 BGG ; vgl. BGE 125 V 201 E. 4a S. 202 und 371 E. 5b S. 372, je mit Hinweisen). Das Gesuch um unentgeltliche Prozessführung und Verbeiständung ist demzufolge abzuweisen.</w:t>
      </w:r>
    </w:p>
    <w:p>
      <w:r>
        <w:rPr>
          <w:b/>
        </w:rPr>
        <w:t>E. 4.2</w:t>
      </w:r>
    </w:p>
    <w:p>
      <w:r>
        <w:t>Die obsiegende, anwaltlich nicht vertretene Beschwerdegegnerin hat keinen Anspruch auf Parteientschädigung (vgl. auch Art. 68 Abs. 3 BGG ; BGE 128 V 124 E. 5b S. 133 f.,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