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9C_193/2009 vom 20. August 2009</w:t>
      </w:r>
    </w:p>
    <w:p>
      <w:r>
        <w:t>Bundesgericht, 2009-08-20, DE</w:t>
      </w:r>
    </w:p>
    <w:p>
      <w:r>
        <w:rPr>
          <w:b/>
        </w:rPr>
        <w:t xml:space="preserve">Quelle: </w:t>
      </w:r>
      <w:r>
        <w:t>https://mcp.opencaselaw.ch/entscheid/bger_9C_193_2009</w:t>
      </w:r>
    </w:p>
    <w:p>
      <w:r>
        <w:t>FR: TF 9C_193/2009 du 20 août 2009</w:t>
      </w:r>
    </w:p>
    <w:p>
      <w:r>
        <w:t>IT: TF 9C_193/2009 del 20 agosto 2009</w:t>
      </w:r>
    </w:p>
    <w:p>
      <w:pPr>
        <w:pStyle w:val="Heading2"/>
      </w:pPr>
      <w:r>
        <w:t>Erwägungen</w:t>
      </w:r>
    </w:p>
    <w:p>
      <w:r>
        <w:rPr>
          <w:b/>
        </w:rPr>
        <w:t>E. 1</w:t>
      </w:r>
    </w:p>
    <w:p>
      <w:r>
        <w:t>Strittig ist, ob ein rentenbegründender Invaliditätsgrad besteht.</w:t>
      </w:r>
    </w:p>
    <w:p>
      <w:r>
        <w:rPr>
          <w:b/>
        </w:rPr>
        <w:t>E. 1.1</w:t>
      </w:r>
    </w:p>
    <w:p>
      <w:r>
        <w:t>Das kantonale Gericht hat die zur Beurteilung des Leistungsanspruchs einschlägigen Rechtsgrundlagen zutreffend dargelegt. Es wird darauf verwiesen.</w:t>
      </w:r>
    </w:p>
    <w:p>
      <w:r>
        <w:rPr>
          <w:b/>
        </w:rPr>
        <w:t>E. 1.2</w:t>
      </w:r>
    </w:p>
    <w:p>
      <w:r>
        <w:t>Die Beschwerde in öffentlich-rechtlichen Angelegenheiten kann unter anderem wegen Verletzung von Bundesrecht erhoben werden ( Art. 95 lit. a BGG ).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w:t>
      </w:r>
    </w:p>
    <w:p>
      <w:r>
        <w:rPr>
          <w:b/>
        </w:rPr>
        <w:t>E. 1.3.1</w:t>
      </w:r>
    </w:p>
    <w:p>
      <w:r>
        <w:t>Die Vorinstanz hat auf das interdisziplinäre Gutachten des Spitals X.________ vom 18. März 2004 abgestellt, wonach angepasste Tätigkeiten im Umfang von sechs bis sieben Stunden täglich bei einem Leistungsgrad von 80 bis 90 Prozent möglich sind. Auch angesichts des Umstandes, dass der Regionale Ärztliche Dienst (RAD) der Invalidenversicherung im Rahmen einer abschliessenden Würdigung die Arbeitsunfähigkeit bezogen auf leichte Tätigkeiten seinerseits auf höchstens 20 Prozent veranschlagte (Bericht vom 17. Oktober 2005), ist die vorinstanzliche Feststellung nicht offensichtlich unrichtig (oben E. 1.2; BGE 132 V 393 ). Nicht zu beanstanden ist im Weiteren, dass die Vorinstanz zur Einschätzung der Arbeitsfähigkeit das arithmetische Mittel der gutachtlichen Eckdaten (zeitliches Pensum von sechs bis sieben Stunden täglich und Leistungsfähigkeit von 80 bis 90 Prozent) zugrunde legte: Gibt ein Arztbericht die Arbeitsunfähigkeit in Form einer Bandbreite an, ist nach der Rechtsprechung in der Regel auf den Mittelwert abzustellen. Dadurch werden Rechtsungleichheiten vermieden, welche aus der Art der Bezifferung resultieren (Urteil I 822/04 vom 21. April 2005 E. 4.4 mit Hinweisen).</w:t>
      </w:r>
    </w:p>
    <w:p>
      <w:r>
        <w:rPr>
          <w:b/>
        </w:rPr>
        <w:t>E. 1.3.2</w:t>
      </w:r>
    </w:p>
    <w:p>
      <w:r>
        <w:t>Ebensowenig offensichtlich unrichtig ist die hypothetische Annahme, die Beschwerdeführerin würde im Gesundheitsfall eine einfache Tätigkeit ausüben. Die Beschwerdeführerin verfügt nicht über eine abgeschlossene berufliche Ausbildung; die Lehre hat sie 1970 wegen einer Schwangerschaft abgebrochen. Vor dem Unfall im Jahr 1994, bei welchem sie ein Distorsionstrauma der Halswirbelsäule erlitt, trat sie eine Stelle im Telemarketing einer Firma an. Bei dieser Aktenlage hat das kantonale Gericht nicht gegen Bundesrecht verstossen, indem es das Valideneinkommen im Rahmen der statistischen Durchschnittswerte (Schweizerische Lohnstrukturerhebung [LSE] des Bundesamts für Statistik, Tabelle A1) auf der Grundlage von Arbeitsplatz-Anforderungsniveau 4 (einfache und repetitive Tätigkeiten) bemessen hat.</w:t>
      </w:r>
    </w:p>
    <w:p>
      <w:r>
        <w:rPr>
          <w:b/>
        </w:rPr>
        <w:t>E. 1.4</w:t>
      </w:r>
    </w:p>
    <w:p>
      <w:r>
        <w:t>Anhaltspunkte für eine anderweitig rechtswidrige Bemessung des Invaliditätsgrades sind nicht ersichtlich. Es besteht somit kein Anlass für eine Weiterung des Prüfungsprogramms (vgl. BGE 110 V 48 E. 4a S. 53).</w:t>
      </w:r>
    </w:p>
    <w:p>
      <w:r>
        <w:rPr>
          <w:b/>
        </w:rPr>
        <w:t>E. 1.5</w:t>
      </w:r>
    </w:p>
    <w:p>
      <w:r>
        <w:t>Die vorinstanzliche Schlussfolgerung, wonach bei einem Invaliditätsgrad von 34 Prozent kein Anspruch auf eine Invalidenrente bestehe, ist mithin bundesrechtskonform (vgl. Art. 28 Abs. 1 IVG [in der bis 2007 geltenden Fassung], nunmehr Art. 28 Abs. 2 IVG ), soweit sie durch die im Streit liegenden Bemessungselemente bestimmt wird.</w:t>
      </w:r>
    </w:p>
    <w:p>
      <w:r>
        <w:rPr>
          <w:b/>
        </w:rPr>
        <w:t>E. 2</w:t>
      </w:r>
    </w:p>
    <w:p>
      <w:r>
        <w:t>Bei einem Invaliditätsgrad von 34 Prozent hat die Beschwerdeführerin grundsätzlich Anspruch auf berufliche Massnahmen. Es bleibt ihr unbenommen, bei der IV-Stelle solche zu beantragen.</w:t>
      </w:r>
    </w:p>
    <w:p>
      <w:r>
        <w:rPr>
          <w:b/>
        </w:rPr>
        <w:t>E. 3</w:t>
      </w:r>
    </w:p>
    <w:p>
      <w:r>
        <w:t>Die Gerichtskosten sind der Beschwerdeführerin als der unterliegenden Partei aufzuerlegen ( Art. 66 Abs. 1 BGG ). Die unentgeltliche Rechtspflege (Prozessführung und Verbeiständung; Art. 64 BGG ) kann gewährt werden, da die entsprechenden Voraussetzungen erfüllt sind ( BGE 125 V 201 E. 4a S. 202 und 371 E. 5b S. 372). Die Beschwerde war insofern nicht aussichtslos, als nach vorinstanzlich nicht beanstandeter Auffassung der Verwaltung die Versicherte wegen ihrer gesundheitlichen Einschränkungen im Hinblick auf berufliche Massnahmen objektiv nicht eingliederungsfähig sei (Einspracheentscheid vom 16. Oktober 2006 E. 3.2); angesichts dessen durfte die betroffene Partei aus ihrer Sicht den Standpunkt einnehmen, es ergebe sich daraus eine weitergehende Arbeitsunfähigkeit. Die begünstigte Partei wird der Gerichtskasse Ersatz zu leisten haben,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