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9C_193/2008 vom 2. Juli 2008</w:t>
      </w:r>
    </w:p>
    <w:p>
      <w:r>
        <w:t>Bundesgericht, 2008-07-02, DE</w:t>
      </w:r>
    </w:p>
    <w:p>
      <w:r>
        <w:rPr>
          <w:b/>
        </w:rPr>
        <w:t xml:space="preserve">Quelle: </w:t>
      </w:r>
      <w:r>
        <w:t>https://mcp.opencaselaw.ch/entscheid/bger_9C_193_2008</w:t>
      </w:r>
    </w:p>
    <w:p>
      <w:r>
        <w:t>FR: TF 9C_193/2008 du 2 juillet 2008</w:t>
      </w:r>
    </w:p>
    <w:p>
      <w:r>
        <w:t>IT: TF 9C_193/2008 del 2 luglio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von einer Vorsorgeeinrichtung reglementarisch oder statutarisch (unter Einschluss der Stiftungsurkunde) erlassene Berufsvorsorgerecht im engeren und weiteren Sinn stellt frei überprüfbares Bundesrecht dar, sofern es - wie nachstehend darzulegen im vorliegenden Fall von der Vorsorgestiftung - gestützt auf eine öffentlich-rechtliche Ermächtigung (vgl. Art. 50 BVG ) erlassen worden ist (vgl. in BGE 132 V 149 nicht publ. E. 2 [B 113/03], 116 V 333 E. 2b S. 335; Ulrich Meyer, Basler Kommentar zum Bundesgerichtsgesetz, Basel 2008, N. 10 zu Art. 106; Markus Schott, Basler Kommentar zum Bundesgerichtsgesetz, Basel 2008, N. 46 zu Art. 95; Hansjörg Seiler, in: Seiler/von Werdt/Güngerich, Bundesgerichtsgesetz [BGG], Bern 2007, N. 27 zu Art. 95).</w:t>
      </w:r>
    </w:p>
    <w:p>
      <w:r>
        <w:rPr>
          <w:b/>
        </w:rPr>
        <w:t>E. 2</w:t>
      </w:r>
    </w:p>
    <w:p>
      <w:r>
        <w:t>Die Vorinstanz hat die Bestimmung von Art. 73 Abs. 1 Satz 1 BVG über die persönliche und die Rechtsprechung zur sachlichen Zuständigkeit der kantonalen Berufsvorsorgegerichte zutreffend wiedergegeben, wonach diese zur Beurteilung von Streitigkeiten zwischen "Anspruchsberechtigten" und nicht registrierten Personalfürsorgestiftungen zuständig sind, die im Bereich der Berufsvorsorge im engeren Sinn tätig sind. Darauf und auf BGE 130 V 80 E. 3.3.3 S. 85, 127 V 29 E. 3b S. 35 f. je mit Hinweisen kann verwiesen werden. Richtig festgehalten hat die Vorinstanz ferner, dass die kantonalen Berufsvorsorgegerichte nicht zuständig sind für Streitigkeiten mit sog. patronalen Wohlfahrtsstiftungen, welche reine Ermessensleistungen, das heisst keine rechtsverbindlichen Leistungen ausrichten und sich ohne Beiträge der Destinatäre finanzieren (vgl. auch Ulrich Meyer, Der Einfluss des BGG auf die Sozialrechtspflege, SZS 2007 S. 231 f.; Hans Michael Riemer, Die patronalen Wohlfahrtsfonds nach der 1. BVG-Revision, SZS 2007 S. 553 f.).</w:t>
      </w:r>
    </w:p>
    <w:p>
      <w:r>
        <w:t>Zu ergänzen ist, dass die Zuständigkeitsbestimmung von Art. 73 Abs. 1 BVG gestützt auf Art. 89bis Abs. 6 Ziff. 19 ZGB und damit die persönliche und sachliche Zuständigkeit der kantonalen Berufsvorsorgegerichte auch für Streitigkeiten mit nicht registrierten Personalfürsorgestiftungen gegeben ist, wenn diese im Gebiet der beruflichen Vorsorge im engeren Sinn tätig sind, also ausserobligatorisch die Risiken Alter, Tod oder Invalidität versichern; und zwar auch dann, wenn sie sich ohne Beiträge der Destinatäre finanzieren ( BGE 117 V 214 E. 1c S. 217; SZS 2001 S. 191 f. E. 1a, SZS 2000 S. 149, SZS 1999 S. 49 f. E. 3b).</w:t>
      </w:r>
    </w:p>
    <w:p>
      <w:r>
        <w:rPr>
          <w:b/>
        </w:rPr>
        <w:t>E. 3</w:t>
      </w:r>
    </w:p>
    <w:p>
      <w:r>
        <w:t>Der Stiftungsrat kann ein Reglement über die Leistungen erlassen, die Organisation, die Verwaltung und Finanzierung sowie über die Kontrolle der Stiftung. Er legt im Reglement das Verhältnis zu den Versicherten und zu den Anspruchsberechtigten fest. .......</w:t>
      </w:r>
    </w:p>
    <w:p>
      <w:r>
        <w:t>Art. 3 Vermögen</w:t>
      </w:r>
    </w:p>
    <w:p>
      <w:r>
        <w:rPr>
          <w:b/>
        </w:rPr>
        <w:t>E. 3.1</w:t>
      </w:r>
    </w:p>
    <w:p>
      <w:r>
        <w:t>Die Stifterfirma widmete der Stiftung ein Anfangsvermögen von Fr. 200'000.-.</w:t>
      </w:r>
    </w:p>
    <w:p>
      <w:r>
        <w:t>Das Stiftungsvermögen wird geäufnet durch allfällige reglementarische Arbeitnehmerbeiträge, freiwillige Zuwendungen des Arbeitgebers und Dritter sowie durch allfällige Überschüsse aus Versicherungsverträgen und durch die Erträgnisse des Stiftungsvermögens.</w:t>
      </w:r>
    </w:p>
    <w:p>
      <w:r>
        <w:rPr>
          <w:b/>
        </w:rPr>
        <w:t>E. 3.2</w:t>
      </w:r>
    </w:p>
    <w:p>
      <w:r>
        <w:t>Aus dem Stiftungsvermögen dürfen ausser zu Vorsorgezwecken keine Leistungen entrichtet werden, zu denen der Arbeitgeber rechtlich verpflichtet ist.</w:t>
      </w:r>
    </w:p>
    <w:p>
      <w:r>
        <w:rPr>
          <w:b/>
        </w:rPr>
        <w:t>E. 3.3</w:t>
      </w:r>
    </w:p>
    <w:p>
      <w:r>
        <w:t>Entgegen der Rechtsauffassung der Vorinstanz handelt es sich somit bei der Beschwerdeführerin nicht um einen patronalen Wohlfahrtsfonds, sondern um eine nicht registrierte Personalvorsorgestiftung, deren Organe verantwortlichkeitsrechtlich nach Art. 52 BVG für Bestand und Erhalt des Stiftungsvermögens haften ( Art. 89bis Abs. 6 Ziff. 6 ZGB ). Das Verwaltungsgericht des Kantons Nidwalden ist zur Beurteilung der entsprechenden Klage sachlich zuständig ( Art. 89bis Abs. 6 Ziff. 6 und 19 ZGB i.V.m. Art. 73 Abs. 1 lit. c BVG ) und die Sache ist zu diesem Zweck an die Vorinstanz zurückzuweisen.</w:t>
      </w:r>
    </w:p>
    <w:p>
      <w:r>
        <w:rPr>
          <w:b/>
        </w:rPr>
        <w:t>E. 4</w:t>
      </w:r>
    </w:p>
    <w:p>
      <w:r>
        <w:t>Der unterliegende Beschwerdegegner trägt die Gerichtskosten ( Art. 66 Abs. 1 BGG ) und hat der Beschwerdeführerin - da es sich um einen Schadenersatzprozess nach Art. 52 BVG handelt - eine Parteientschädigung zu bezahlen ( Art. 68 Abs. 2 BGG ; BGE 128 V 124 E. 5b S. 133 f.).</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