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187/2011 vom 30. Mai 2011</w:t>
      </w:r>
    </w:p>
    <w:p>
      <w:r>
        <w:t>Bundesgericht, 2011-05-30, DE</w:t>
      </w:r>
    </w:p>
    <w:p>
      <w:r>
        <w:rPr>
          <w:b/>
        </w:rPr>
        <w:t xml:space="preserve">Quelle: </w:t>
      </w:r>
      <w:r>
        <w:t>https://mcp.opencaselaw.ch/entscheid/bger_9C_187_2011</w:t>
      </w:r>
    </w:p>
    <w:p>
      <w:r>
        <w:t>FR: TF 9C 187/2011 du 30 mai 2011</w:t>
      </w:r>
    </w:p>
    <w:p>
      <w:r>
        <w:t>IT: TF 9C 187/2011 del 30 maggio 2011</w:t>
      </w:r>
    </w:p>
    <w:p>
      <w:pPr>
        <w:pStyle w:val="Heading2"/>
      </w:pPr>
      <w:r>
        <w:t>Regeste</w:t>
      </w:r>
    </w:p>
    <w:p>
      <w:r>
        <w:t>Invalidenversicherung (Massnahme beruflicher Art)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Der Versicherte hat Anspruch auf Umschulung auf eine neue Erwerbstätigkeit, wenn die Umschulung infolge Invalidität notwendig ist und dadurch die Erwerbsfähigkeit voraussichtlich erhalten oder verbessert werden kann ( Art. 17 Abs. 1 IVG ). Dabei wird u.a. ein invaliditätsbedingter Minderverdienst von rund 20 % vorausgesetzt ( BGE 130 V 488 E. 4.2 S. 489 f.; SVR 2010 IV Nr. 52 S. 160, 9C_125/2009 E. 4.5 mit Hinweisen).</w:t>
      </w:r>
    </w:p>
    <w:p>
      <w:r>
        <w:rPr>
          <w:b/>
        </w:rPr>
        <w:t>E. 3</w:t>
      </w:r>
    </w:p>
    <w:p>
      <w:r>
        <w:t>Das kantonale Gericht hat gestützt auf das Gutachten des Dr. med. S.________ vom 15. April 2008 und in Übereinstimmung mit dem Bericht der beruflichen Abklärungsstelle (BEFAS) vom 12. Januar 2004 eine volle Arbeitsfähigkeit in leidensangepassten Tätigkeiten festgestellt. Weiter hat es für das Jahr 2009, entsprechend dem zuletzt erzielten Verdienst, ein Valideneinkommen von Fr. 73'203.75 angenommen. Das Invalideneinkommen hat es auf Fr. 62'177.55 festgesetzt, wobei es den Tabellenlohn der schweizeri-schen Lohnstrukturerhebung des Bundesamtes für Statistik (LSE 2008 Tabelle TA3, total Männer, Anforderungsniveau 4) herangezogen und die betriebsübliche Wochenarbeitszeit sowie die Nominallohn-entwicklung, jedoch keinen Abzug ( BGE 126 V 75 ) berücksichtigt hat. Beim daraus resultierenden Invaliditätsgrad von 15 % hat es einen Anspruch auf Umschulung verneint.</w:t>
      </w:r>
    </w:p>
    <w:p>
      <w:r>
        <w:rPr>
          <w:b/>
        </w:rPr>
        <w:t>E. 4.1</w:t>
      </w:r>
    </w:p>
    <w:p>
      <w:r>
        <w:t>Die vorinstanzliche Feststellung betreffend die Arbeitsfähigkeit ist nicht offensichtlich unrichtig und wird auch vom Beschwerdeführer nicht in Abrede gestellt, weshalb sie für das Bundesgericht verbindlich ist (E. 1). In Bezug auf die Invaliditätsbemessung macht der Versicherte einen Abzug vom Invalideneinkommen von 20 % geltend; ausserdem sei die zukünftige Einkommensentwicklung zu berücksichtigen.</w:t>
      </w:r>
    </w:p>
    <w:p>
      <w:r>
        <w:rPr>
          <w:b/>
        </w:rPr>
        <w:t>E. 4.2.1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soll aber nicht automatisch erfolgen. Er ist unter Würdigung der Umstände im Einzelfall nach pflichtgemässem Ermessen gesamthaft zu schätzen und darf 25 % nicht übersteigen ( BGE 126 V 75 E. 5b/bb-cc S. 80; 134 V 322 E. 5.2 S. 327 f.; Urteil 9C_368/2009 vom 17. Juli 2009 E. 2.1). Rechtsprechungsgemäss ist ein Abzug auf dem Invalideneinkommen insbesondere dann zu gewähren,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(Urteile 9C_205/2010 vom 20. Juli 2010 E. 5.2; 9C_343/2008 vom 21. August 2008 E. 3.2; 8C_765/2007 vom 11. Juli 2008 E. 4.3.2), weil der Tabellenlohn im Anforderungsniveau 4 bereits eine Vielzahl von leichten und mittelschweren Tätigkeiten umfasst (Urteil 9C_72/2009 vom 30. März 2009 E. 3.4).</w:t>
      </w:r>
    </w:p>
    <w:p>
      <w:r>
        <w:rPr>
          <w:b/>
        </w:rPr>
        <w:t>E. 4.2.2</w:t>
      </w:r>
    </w:p>
    <w:p>
      <w:r>
        <w:t>Ob ein (behinderungsbedingt oder anderweitig begründeter) Abzug vom Tabellenlohn vorzunehmen ist, stellt eine Rechtsfrage dar (Urteil 8C_652/2008 vom 8. Mai 2009 E. 4 in fine, nicht publiziert in: BGE 135 V 297 ), die das Bundesgericht im Rahmen der den Parteien obliegenden Begründungs- bzw. Rügepflicht ( Art. 42 Abs. 2 BGG und Art. 106 Abs. 2 BGG ; BGE 133 II 249 E. 1.4.1 und 1.4.2 S. 254) frei überprüfen kann ( Art. 106 Abs. 1 BGG ).</w:t>
      </w:r>
    </w:p>
    <w:p>
      <w:r>
        <w:rPr>
          <w:b/>
        </w:rPr>
        <w:t>E. 4.2.3</w:t>
      </w:r>
    </w:p>
    <w:p>
      <w:r>
        <w:t>Dem Gutachten des Dr. med. S.________ ist zu entnehmen, dass dem Versicherten jegliche leichten bis mittelschweren Arbeiten ohne Heben von Gewichten über 7-10 kg, in wechselnder Körperstellung und bei freier Einteilung des Arbeitsrhythmus' uneingeschränkt zumutbar sind und sich keine Hinweise oder Anhaltspunkte für eine verminderte Leistungsfähigkeit fanden. Die Tatsache allein, dass der Versicherte nicht mehr ganztags stehend arbeiten und mithin lediglich eine wechselbelastende Tätigkeit ausüben kann, rechtfertigt aber noch keinen Abzug vom Tabellenlohn (vgl. E. 4.2.1). Ein Abzug wegen der Nationalität des Beschwerdeführers, welcher das Schweizer Bürgerrecht besitzt, ist nicht angebracht (Urteil 9C_205/2010 vom 20. Juli 2010 E. 5.3; vgl. auch SZS 2009 S. 136, 9C_382/2007 E. 6.4). Soweit der Versicherte vorbringt, eingebürgerte Personen aus den Ländern des ehemaligen Jugoslawien würden immer noch als Ausländer behandelt, wird dieser Einwand allein schon durch die Höhe des Valideneinkommens entkräftet. Andere Gründe für einen Abzug werden nicht geltend gemacht und sind auch nicht ersichtlich. Insbesondere kann der von Dr. med. S.________ erwähnte vermehrte Pausenbedarf von "ca. einer Stunde pro Tag vor allem zu Beginn der Arbeitsaufnahme" im Kontext seiner übrigen Ausführungen nur so verstanden werden, dass er lediglich für eine gewisse Einarbeitungszeit attestiert wurde, weshalb er nicht abzugsrelevant ist. Nach dem Gesagten ist der vorinstanzliche Verzicht auf Vornahme eines Abzugs vom Tabellenlohn bundesrechtskonform.</w:t>
      </w:r>
    </w:p>
    <w:p>
      <w:r>
        <w:rPr>
          <w:b/>
        </w:rPr>
        <w:t>E. 4.3</w:t>
      </w:r>
    </w:p>
    <w:p>
      <w:r>
        <w:t>Anhaltspunkte für eine erhebliche Veränderung des Invaliditätsgrads aufgrund der (hypothetischen) beruflichen Entwicklung des Versicherten, wie sie etwa in BSV-Liste 2005 02 1, I 783/03 E. 5.2, berücksichtigt wurde, fehlen: Im konkreten Fall handelt es sich nicht um einen am Anfang seiner beruflichen Karriere stehenden Versicherten kurz nach Beendigung der Berufsausbildung; sein (auf das Jahr 2009 aufgerechnetes) Valideneinkommen beruhte u.a. auf einer jahrelangen Anstellung beim gleichen Arbeitgeber und lag laut Lohnstrukturerhebung 2008 sogar über dem branchenüblichen Durchschnittslohn im Anforderungsniveau 3. Es ist daher auch in Zukunft nicht von einer wesentlichen Steigerung des Valideneinkommens oder - vorbehältlich eines unveränderten Gesundheitszustandes - einer massgeblichen Veränderung des Invalideneinkommens auszugehen. Somit besteht keine Veranlassung, von der rechtsprechungsgemässen Voraussetzung eines Mindestinvaliditätsgrades (E. 2) abzusehen (vgl. auch SVR 2010 IV Nr. 52 S. 160, 9C_125/2009 E. 5).</w:t>
      </w:r>
    </w:p>
    <w:p>
      <w:r>
        <w:rPr>
          <w:b/>
        </w:rPr>
        <w:t>E. 4.4</w:t>
      </w:r>
    </w:p>
    <w:p>
      <w:r>
        <w:t>Auf die Ausführungen in der Beschwerde zur Gleichwertigkeit der durch die Umschulung angestrebten Erwerbsmöglichkeit mit der bisherigen Tätigkeit (vgl. BGE 130 V 488 E. 4.2 S. 489 f.) ist nicht einzugehen: Nach dem Gesagten liegt der Invaliditätsgrad des Versicherten deutlich unter dem Richtwert von 20 %, weshalb die Vorinstanz einen Anspruch auf Umschulung zu Recht verneint hat.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