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9C_185/2020 vom 13. April 2021</w:t>
      </w:r>
    </w:p>
    <w:p>
      <w:r>
        <w:t>Bundesgericht, 2021-04-13, DE</w:t>
      </w:r>
    </w:p>
    <w:p>
      <w:r>
        <w:rPr>
          <w:b/>
        </w:rPr>
        <w:t xml:space="preserve">Quelle: </w:t>
      </w:r>
      <w:r>
        <w:t>https://mcp.opencaselaw.ch/entscheid/bger_9C_185_2020</w:t>
      </w:r>
    </w:p>
    <w:p>
      <w:r>
        <w:t>FR: TF 9C_185/2020 du 13 avril 2021</w:t>
      </w:r>
    </w:p>
    <w:p>
      <w:r>
        <w:t>IT: TF 9C_185/2020 del 13 aprile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kantonale Gericht hat auf BGE 145 V 18 verwiesen und erwogen, danach habe die definitiv leistungspflichtige Vorsorgeeinrichtung der vorleistungspflichtigen Vorsorgeeinrichtung auf den zurückzuerstattenden Betrag mangels eines vertraglichen Verhältnisses keinen Verzugszins zu bezahlen.</w:t>
      </w:r>
    </w:p>
    <w:p>
      <w:r>
        <w:rPr>
          <w:b/>
        </w:rPr>
        <w:t>E. 3.1</w:t>
      </w:r>
    </w:p>
    <w:p>
      <w:r>
        <w:t>Wohl verneinte das Bundesgericht in BGE 145 V 18 eine Verzugszinspflicht der definitiv leistungspflichtigen Trägerin nach Art. 26 Abs. 4 BVG . Indessen änderte die Beschwerdeführerin ihre Rechtsbegehren in der vorinstanzlichen Replik im Lichte dieses, am 30. Januar 2019 ergangenen Urteils unbestritten insoweit ab, als sie nicht mehr Verzugszins, sondern Verzinsung der Rückgriffsforderung beantragte, unter Hinweis darauf, dass Verzugszins und der eigentliche Zins zu unterscheiden sind (vgl. Urteil 9C_63/2020 vom 7. Januar 2021 E. 4.1 mit Hinweisen [zur Publikation vorgesehen]).</w:t>
      </w:r>
    </w:p>
    <w:p>
      <w:r>
        <w:rPr>
          <w:b/>
        </w:rPr>
        <w:t>E. 3.2</w:t>
      </w:r>
    </w:p>
    <w:p>
      <w:r>
        <w:t>Das Bundesgericht hat die Zinspflicht im Urteil 9C_63/2020 vom 7. Januar 2021 im vorliegend interessierenden Kontext geprüft. Gemäss dessen Erwägung 4.3 verleiht Art. 26 Abs. 4 BVG der Vorsorgeeinrichtung, welche Vorleistungen erbracht hat, in diesem Umfang unmittelbar von Gesetzes wegen einen Regressanspruch gegen die letztlich leistungspflichtige Vorsorgeeinrichtung. Die vorleistungspflichtige Vorsorgeeinrichtung soll nach Ausübung ihres Regressrechts so gestellt sein, wie wenn sie nie eine Vorleistung bezahlt hätte. Sind vorleistende und definitiv leistungspflichtige Vorsorgeeinrichtung nicht identisch, so beläuft sich der Schaden der Ersteren auf sämtliches Kapital, das sie durch die Vorleistungspflicht nicht zur Verfügung hat, wohingegen die eigentlich leistungspflichtige Vorsorgeträgerin das entsprechende Guthaben in dieser Zeit gewinn- resp. zinsbringend anlegen kann. Dieser Zinsverlust ist auf dem Regressweg auszugleichen. Mithin liegt eine zu Art. 50 f. OR ähnliche Situation vor. Es besteht insoweit Anspruchskonkurrenz, als der Anspruch der versicherten Person - welche die vorleistungspflichtige Trägerin nach Art. 26 Abs. 4 BVG ins Recht gefasst hat - im Umfang der Vorleistung gegenüber der effektiv leistungspflichtigen Vorsorgeeinrichtung erlischt. Gleichzeitig erlangt die vorleistungspflichtige Einrichtung einen Regressanspruch, den sie direkt gegen die definitiv leistungspflichtige Vorsorgeeinrichtung durchsetzen kann, womit Regress- bzw. Schadenszins zu Gunsten der vorleistungspflichtigen Vorsorgeeinrichtung anfällt. Die Höhe des anwendbaren Zinssatzes richtet sich, wie der Erwägung 5 des eingangs erwähnten Urteils zu entnehmen ist, nach dem BVG-Mindestzinssatz ( Art. 15 Abs. 2 BVG in Verbindung mit Art. 12 der Verordnung über die berufliche Alters-, Hinterlassenen- und Invalidenvorsorge [BVV 2; SR 831.41.1] ) plus ein Prozent.</w:t>
      </w:r>
    </w:p>
    <w:p>
      <w:r>
        <w:rPr>
          <w:b/>
        </w:rPr>
        <w:t>E. 3.3</w:t>
      </w:r>
    </w:p>
    <w:p>
      <w:r>
        <w:t>Nachdem vorliegend eine identische Sach- und Rechtslage besteht, ist eine Zinspflicht der Beschwerdegegnerin zu Gunsten der Beschwerdeführerin im Umfang der erbrachten Vorleistungen ohne Weiteres zu bejahen. Daran ändern die in der Vernehmlassung erhobenen Einwände nichts. Abgesehen davon, dass die Bestimmungen des ATSG im Bereich der beruflichen Vorsorge nicht anwendbar sind (Urteil 9C_16/2018 vom 25. September 2018 E. 3.4.3.2), haben Art. 34a Abs. 3 BVG bzw. Art. 70 f. ATSG - auf welche sich die Beschwerdegegnerin im Wesentlichen bezieht - ausschliesslich die intersystemische Koordination zwischen einzelnen Sozialversicherungen zum Gegenstand. Demgegenüber regelt Art. 26 Abs. 4 BVG eine rein BVG-spezifische und damit intrasystemische Problematik. Darüber hinaus vermag die Beschwerdegegnerin in ihrem Eventualantrag nicht (substanziiert) aufzuzeigen, inwieweit mit der Annahme eines um ein Prozent über dem BVG-Mindestzinssatz liegenden Zinses eine Verletzung von Bundesrecht einhergehen sollte. Angesichts des die strittige Rechtsfrage umfassend klärenden Urteils 9C_63/2020 vom 7. Januar 2021 beläuft sich der geschuldete Zins demnach auf 2,25 % vom 7. September 2016 bis 31. Dezember 2016, zuzüglich 2 % für 2017 und 2018, mithin auch seit 10. September 2018 (vgl. Art. 107 Abs. 1 BGG ). Die Beschwerde ist begründet.</w:t>
      </w:r>
    </w:p>
    <w:p>
      <w:r>
        <w:rPr>
          <w:b/>
        </w:rPr>
        <w:t>E. 4</w:t>
      </w:r>
    </w:p>
    <w:p>
      <w:r>
        <w:t>Mit Vorliegen des Urteils 9C_63/2020 vom 7. Januar 2021 wird das Sistierungsbegehren der Beschwerdeführerin gegenstandslos.</w:t>
      </w:r>
    </w:p>
    <w:p>
      <w:r>
        <w:rPr>
          <w:b/>
        </w:rPr>
        <w:t>E. 5</w:t>
      </w:r>
    </w:p>
    <w:p>
      <w:r>
        <w:t>Dem Ausgang des Verfahrens entsprechend sind die Gerichtskosten der Beschwerdegegnerin aufzuerlegen ( Art. 66 Abs. 1 Satz 1 BGG ). Als mit öffentlich-rechtlichen Aufgaben betrauter Organisation ist der Beschwerdeführerin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