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9C_185/2016 vom 8. August 2016</w:t>
      </w:r>
    </w:p>
    <w:p>
      <w:r>
        <w:t>Bundesgericht, 2016-08-08, DE</w:t>
      </w:r>
    </w:p>
    <w:p>
      <w:r>
        <w:rPr>
          <w:b/>
        </w:rPr>
        <w:t xml:space="preserve">Quelle: </w:t>
      </w:r>
      <w:r>
        <w:t>https://mcp.opencaselaw.ch/entscheid/bger_9C_185_2016</w:t>
      </w:r>
    </w:p>
    <w:p>
      <w:r>
        <w:t>FR: TF 9C_185/2016 du 8 août 2016</w:t>
      </w:r>
    </w:p>
    <w:p>
      <w:r>
        <w:t>IT: TF 9C_185/2016 del 8 agosto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w:t>
      </w:r>
    </w:p>
    <w:p>
      <w:r>
        <w:t>Neue Tatsachen und Beweismittel dürfen nur so weit vorgebracht werden, als der Entscheid der Vorinstanz dazu Anlass gibt ( Art. 99 Abs. 1 BGG ). Echte Noven, d.h. Tatsachen und Beweismittel, die erst nach dem vorinstanzlichen Entscheid vom 29. Januar 2016 entstanden sind, so der Bericht des Tageszentrums E.________ vom 1. März 2016, sind vor Bundesgericht unzulässig (Urteil 8C_690/2011 vom 16. Juli 2012 E. 1.3 mit Hinweis, nicht publ. in: BGE 138 V 286 , aber in: SVR 2012 FZ Nr. 3 S. 7).</w:t>
      </w:r>
    </w:p>
    <w:p>
      <w:r>
        <w:rPr>
          <w:b/>
        </w:rPr>
        <w:t>E. 3</w:t>
      </w:r>
    </w:p>
    <w:p>
      <w:r>
        <w:t>Die Vorinstanz hat der psychiatrischen Expertise der med. pract. C.________ vom 20. August 2014 Beweiskraft beigemessen und gestützt darauf festgestellt, die Beschwerdeführerin leide nicht an einem invalidisierenden Gesundheitsschaden.</w:t>
      </w:r>
    </w:p>
    <w:p>
      <w:r>
        <w:rPr>
          <w:b/>
        </w:rPr>
        <w:t>E. 4</w:t>
      </w:r>
    </w:p>
    <w:p>
      <w:r>
        <w:t>Die Beschwerdeführerin wirft dem kantonalen Gericht eine Verletzung des Untersuchungsgrundsatzes ( Art. 61 lit. c ATSG ) vor, weil es sich zu wenig mit den Divergenzen zwischen dem psychiatrischen Gutachten und den übrigen aktenkundigen Berichten, namentlich den Potentialabklärungen bei der Stiftung B.________ (Bericht vom 28. Februar 2013) und im Tageszentrum E.________ (Berichte vom 31. März 2015 und vom 28. Juli 2015) sowie den Berichten der Dr. med. D.________ vom 27. Januar 2015, der Dr. med. F.________ vom 17. Juli 2015 sowie der Beiständin der Versicherten vom 30. Juli 2015 auseinandergesetzt habe.</w:t>
      </w:r>
    </w:p>
    <w:p>
      <w:r>
        <w:rPr>
          <w:b/>
        </w:rPr>
        <w:t>E. 4.1</w:t>
      </w:r>
    </w:p>
    <w:p>
      <w:r>
        <w:t>Sowohl die Potentialabklärungsberichte wie auch das Schreiben der Beiständin vom 30. Juli 2015 wurden nicht von psychiatrischen Fachärzten verfasst. Wie die Vorinstanz diesbezüglich richtig erwogen hat und auch die Beschwerdeführerin einräumt, sind es aber gerade die psychiatrischen Fachärzte, welche die Arbeits- und Leistungsfähigkeit einer versicherten Person zu beurteilen haben, wenn - wie im vorliegenden Fall - die geltend gemachten gesundheitlichen Einschränkungen psychosomatischer Natur sind. Sofern sich bei Haushaltabklärungen die Ergebnisse der Abklärung vor Ort und die fachmedizinischen Feststellungen zur Fähigkeit der versicherten Person, ihre gewohnten Aufgaben zu erfüllen, widersprechen,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8C_817/2013 vom 28. Mai 2014 E. 5.1). Gleiches hat auch im Verhältnis zwischen beruflichen Abklärungsberichten und den Feststellungen der psychiatrischen Gutachterin zu gelten. Nur letzterer ist es möglich, die tatsächlich vorhandenen Einschränkungen zu erfassen und zu werten.</w:t>
      </w:r>
    </w:p>
    <w:p>
      <w:r>
        <w:t>Inwiefern die Potentialabklärungsberichte der Stiftung B.________ und des Tageszentrums E.________ dennoch Zweifel am fachärztlichen Gutachten der med. pract. C.________ begründen sollten, lässt sich der Beschwerde nicht substanziiert entnehmen. Insbesondere fehlt es darin an einer Auseinandersetzung mit den diesbezüglichen vorinstanzlichen Erwägungen, wonach aus den Berichten des Tageszentrums E.________ überhaupt kein invalidisierender Gesundheitsschaden hervorgehe und der Bericht der Stiftung B.________ vom 28. Februar 2013 bereits deshalb keine Zweifel am Gutachten der med. pract. C.________ erlaube, weil er gut eineinhalb Jahre zuvor erstellt worden sei und bereits damals der medizinischen Situation widersprochen habe. Eine inhaltliche Auseinandersetzung fehlt überdies auch bezüglich der Stellungnahme der med. pract. C.________ vom 19. November 2014, worin diese explizit zu den Abklärungsergebnissen der Stiftung B.________ Stellung genommen und dargelegt hat, weshalb sich der Bericht vom 28. Februar 2013 nicht nachvollziehen und plausibilisieren lasse. Insbesondere äusserte die Gutachterin erhebliche Zweifel, ob das bei der Leistungsabklärung gezeigte Verhalten der Beschwerdeführerin - diese vermochte selbst eine dreistündige Präsenzzeit nicht einzuhalten - ihrem tatsächlichen Potential entspreche. Weiter wies sie auf zahlreiche Widersprüche, Unsicherheiten und Inkonsistenzen im Bericht der Stiftung B.________ vom 28. Februar 2013 hin.</w:t>
      </w:r>
    </w:p>
    <w:p>
      <w:r>
        <w:rPr>
          <w:b/>
        </w:rPr>
        <w:t>E. 4.2</w:t>
      </w:r>
    </w:p>
    <w:p>
      <w:r>
        <w:t>Die Beschwerdeführerin vermag auch nicht darzulegen, inwiefern die vorinstanzlichen Feststellungen, dem Bericht der Dr. med. D.________ vom 27. Januar 2015 seien keine neuen medizinischen Erkenntnisse zu entnehmen und auf den Bericht der Dr. med. F.________ vom 17. Juli 2015 könne in Ermangelung einer Anamnese sowie einer Befunderhebung nicht abgestellt werden, offensichtlich unrichtig oder sonstwie bundesrechtswidrig sein sollen. Im Ergebnis erschöpfen sich die diesbezüglichen Ausführungen der Beschwerdeführerin in einer Darlegung ihrer eigenen, von der Vorinstanz abweichenden Darstellung der gesundheitlichen Verhältnisse, was nicht genügt ( BGE 134 II 244 E. 2.2 S. 246). Dass die Beurteilung in der psychiatrischen Expertise der med. pract. C.________ falsch oder nicht lege artis vorgenommen worden wäre - was im Übrigen auch Dr. med. D.________ explizit verneinte -, macht die Beschwerdeführerin indessen nicht substanziiert geltend.</w:t>
      </w:r>
    </w:p>
    <w:p>
      <w:r>
        <w:rPr>
          <w:b/>
        </w:rPr>
        <w:t>E. 4.3</w:t>
      </w:r>
    </w:p>
    <w:p>
      <w:r>
        <w:t>Der vorinstanzliche Verzicht auf weitere Abklärungen stellte keine Verletzung des Untersuchungsgrundsatzes ( Art. 61 lit. c ATSG ) dar (antizipierte Beweiswürdigung; BGE 136 I 229 E. 5.3 S. 236). Die Beschwerde ist unbegründet.</w:t>
      </w:r>
    </w:p>
    <w:p>
      <w:r>
        <w:rPr>
          <w:b/>
        </w:rPr>
        <w:t>E. 5</w:t>
      </w:r>
    </w:p>
    <w:p>
      <w:r>
        <w:t>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