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9C_184/2026 vom 8. April 2026</w:t>
      </w:r>
    </w:p>
    <w:p>
      <w:r>
        <w:t>Bundesgericht, 2026-04-08, DE</w:t>
      </w:r>
    </w:p>
    <w:p>
      <w:r>
        <w:rPr>
          <w:b/>
        </w:rPr>
        <w:t xml:space="preserve">Quelle: </w:t>
      </w:r>
      <w:r>
        <w:t>https://mcp.opencaselaw.ch/entscheid/bger_9C_184_2026</w:t>
      </w:r>
    </w:p>
    <w:p>
      <w:r>
        <w:t>FR: TF 9C_184/2026 du 8 avril 2026</w:t>
      </w:r>
    </w:p>
    <w:p>
      <w:r>
        <w:t>IT: TF 9C_184/2026 del 8 aprile 2026</w:t>
      </w:r>
    </w:p>
    <w:p>
      <w:pPr>
        <w:pStyle w:val="Heading2"/>
      </w:pPr>
      <w:r>
        <w:t>Volltext</w:t>
      </w:r>
    </w:p>
    <w:p>
      <w:r>
        <w:t>Bundesgericht</w:t>
      </w:r>
    </w:p>
    <w:p>
      <w:r>
        <w:t>Tribunal fédéral</w:t>
      </w:r>
    </w:p>
    <w:p>
      <w:r>
        <w:t>Tribunale federale</w:t>
      </w:r>
    </w:p>
    <w:p>
      <w:r>
        <w:t>Tribunal federal</w:t>
      </w:r>
    </w:p>
    <w:p>
      <w:r>
        <w:t>9C_184/2026</w:t>
      </w:r>
    </w:p>
    <w:p>
      <w:r>
        <w:t>Urteil vom 8. April 2026</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Verwaltungsgericht des Kantons Zug, Verwaltungsrechtliche Kammer, Hofstrasse 13, 6300 Zug,</w:t>
      </w:r>
    </w:p>
    <w:p>
      <w:r>
        <w:t>Beschwerdegegner.</w:t>
      </w:r>
    </w:p>
    <w:p>
      <w:r>
        <w:t>Gegenstand</w:t>
      </w:r>
    </w:p>
    <w:p>
      <w:r>
        <w:t>Krankenversicherung,</w:t>
      </w:r>
    </w:p>
    <w:p>
      <w:r>
        <w:t>Beschwerde gegen die Verfügung &gt; vom 10. Februar 2026 (V 2025 67).</w:t>
      </w:r>
    </w:p>
    <w:p>
      <w:r>
        <w:t>Nach Einsicht</w:t>
      </w:r>
    </w:p>
    <w:p>
      <w:r>
        <w:t>in die Beschwerde vom 7. März 2026 (Poststempel) gegen die Verfügung des Verwaltungsgerichts des Kantons Zug vom 10. Februar 2026, mit welcher das Verfahren V 2025 67 zufolge Nichtleistens des Kostenvorschusses als erledigt vom Geschäftsverzeichnis abgeschrieben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sich der Beschwerdeführer namentlich nicht mit den vorinstanzlichen Feststellungen auseinandersetzt, wonach das kantonale Gericht das Gesuch des Beschwerdeführers um unentgeltliche Rechtspflege mit Verfügung vom 23. September 2025 (wegen fehlender finanzieller Bedürftigkeit und Aussichtslosigkeit) abgewiesen habe, das Bundesgericht auf eine dagegen eingereichte Beschwerde nicht eingetreten sei (Urteil 9C_595/2025 vom 23. Dezember 2025) und der Beschwerdeführer darauf hingewiesen worden sei, dass er den Kostenvorschuss nun innert einer Frist von 10 Tagen ab Kenntnisnahme dieses Urteils des Bundesgerichts zu leisten habe, andernfalls das Verfahren, wie angedroht, abgeschrieben werde,</w:t>
      </w:r>
    </w:p>
    <w:p>
      <w:r>
        <w:t>dass sich der Beschwerdeführer stattdessen darauf beschränkt, seine Sichtweise darzustellen und unzulässige appellatorische Kritik am angefochtenen Entscheid zu üben, insbesondere mit der pauschalen Behauptung, "erhebliche Unklarheiten in der Kommunikation sowie Mängel in der prozessualen Struktur der gerichtlichen Verfügung" hätten es erschwert, den prozessualen Gang des Verfahrens nachzuvollziehen und sachgerecht darauf zu reagieren,</w:t>
      </w:r>
    </w:p>
    <w:p>
      <w:r>
        <w:t>dass der Beschwerdeführer darüber hinaus den Grundsatz übersieht, wonach die Begründung in der Beschwerdeschrift vor Bundesgericht selbst enthalten sein muss und blosse Verweise auf frühere Rechtsschriften unbeachtlich sind ( BGE 144 V 173 E. 3.2.2),</w:t>
      </w:r>
    </w:p>
    <w:p>
      <w:r>
        <w:t>dass die Rechtsschrift somit den gesetzlichen Mindestanforderungen erneut (so bereits im erwähnten Verfahren 9C_595/2025) offensichtlich nicht genügt,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Amt für Gesundheit des Kantons Zug, Zug, und dem Bundesamt für Gesundheit schriftlich mitgeteilt.</w:t>
      </w:r>
    </w:p>
    <w:p>
      <w:r>
        <w:t>Luzern, 8. April 2026</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