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9C_184/2016 vom 27. Mai 2016</w:t>
      </w:r>
    </w:p>
    <w:p>
      <w:r>
        <w:t>Bundesgericht, 2016-05-27, DE</w:t>
      </w:r>
    </w:p>
    <w:p>
      <w:r>
        <w:rPr>
          <w:b/>
        </w:rPr>
        <w:t xml:space="preserve">Quelle: </w:t>
      </w:r>
      <w:r>
        <w:t>https://mcp.opencaselaw.ch/entscheid/bger_9C_184_2016</w:t>
      </w:r>
    </w:p>
    <w:p>
      <w:r>
        <w:t>FR: TF 9C_184/2016 du 27 mai 2016</w:t>
      </w:r>
    </w:p>
    <w:p>
      <w:r>
        <w:t>IT: TF 9C_184/2016 del 27 maggio 2016</w:t>
      </w:r>
    </w:p>
    <w:p>
      <w:pPr>
        <w:pStyle w:val="Heading2"/>
      </w:pPr>
      <w:r>
        <w:t>Erwägungen</w:t>
      </w:r>
    </w:p>
    <w:p>
      <w:r>
        <w:rPr>
          <w:b/>
        </w:rPr>
        <w:t>E. 1.1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Das kantonale Gericht hat dem MEDAS-Gutachten vom 24. Februar 2015 Beweiskraft beigemessen und gestützt darauf eine nunmehr uneingeschränkte Arbeitsfähigkeit für angepasste Tätigkeiten festgestellt. Sodann ist es von einer Veränderung der Rückenproblematik und einer Verbesserung des psychischen Gesundheitszustandes im Vergleich zum Zeitpunkt bei Erlass der Verfügung vom 17. August 2012 ausgegangen, weshalb es die Voraussetzungen für eine Rentenrevision nach Art. 17 Abs. 1 ATSG bejaht hat. Weiter hat die Vorinstanz das Valideneinkommen auf Fr. 71'212.75 festgesetzt. Für das Invalideneinkommen von Fr. 62'823.80 hat sie einen Tabellenlohn herangezogen und dabei einen Abzug von 5 % berücksichtigt. Beim resultierenden Invaliditätsgrad von 12 % hat sie einen Rentenanspruch verneint.</w:t>
      </w:r>
    </w:p>
    <w:p>
      <w:r>
        <w:t>Der Beschwerdeführer bestreitet die Beweiskraft des MEDAS-Gutachtens und das Vorliegen eines Revisionsgrundes; die wiedererwägungsweise Rentenaufhebung hält er ebenfalls für unzulässig. In Bezug auf das Invalideneinkommen macht er einen Tabellenlohn-Abzug von 25 % und die Prüfung von beruflichen Massnahmen geltend.</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4.1</w:t>
      </w:r>
    </w:p>
    <w:p>
      <w:r>
        <w:t>Im Hinblick auf die Rentenrevision gemäss Art. 17 Abs. 1 ATSG (vgl. SVR 2011 IV Nr. 1 S. 1, 8C_972/2009 E. 3.2; Urteil 9C_379/2014 vom 26. August 2014 E. 3.2) ist in der Tat zweifelhaft, ob sich die gesundheitliche Situation seit Erlass der (auf den Gutachten der Dres. med. B.________ und C.________ vom 6. September 2011 beruhenden) Verfügung vom 17. August 2012 in anspruchsrevelanter Weise ( BGE 141 V 9 E. 2.3 S. 10 und E. 3.2 S. 12) veränderte resp. ob sich eine solche Veränderung aus dem MEDAS-Gutachten ergibt. Wohl erkannte der MEDAS-Neurologe in somatischer Hinsicht eine Verschlechterung; daraus leitete er aber keine Auswirkung auf die Arbeitsfähigkeit in angepassten Tätigkeiten ab. Der psychiatrische Experte hingegen konnte die Arbeitsfähigkeit retrospektiv "nicht exakt bestimmen" und ging explizit davon aus, dass die uneingeschränkte Arbeitsfähigkeit "wahrscheinlich" schon seit der Begutachtung durch die Dres. med. B.________ und C.________ bestanden habe und somit nur eine unterschiedliche diagnostische Einschätzung vorliege. Wie es sich damit verhält, kann indessen offenbleiben, wie sich aus dem Folgenden ergibt.</w:t>
      </w:r>
    </w:p>
    <w:p>
      <w:r>
        <w:rPr>
          <w:b/>
        </w:rPr>
        <w:t>E. 4.2</w:t>
      </w:r>
    </w:p>
    <w:p>
      <w:r>
        <w:t>Nach Art. 53 Abs. 2 ATSG (SR 830.1) in Verbindung mit Art. 2 ATSG und Art. 1 Abs. 1 IVG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 Urteil 9C_770/2015 vom 24. März 2016 E. 2.1). Das gilt - entgegen der Ansicht des Beschwerdeführers - auch für das Bundesgericht (vgl. Urteil 9C_765/2015 vom 21. April 2016 E. 3.2), sofern den Beteiligten dazu das rechtliche Gehör gewährt wurde.</w:t>
      </w:r>
    </w:p>
    <w:p>
      <w:r>
        <w:t>Dieses Vorgehen setzt weder ein Wiedererwägungsgesuch des Versicherten noch einen entsprechenden Antrag des Versicherers voraus, sondern ergibt sich daraus, dass die Gerichte das Recht von Amtes wegen anzuwenden haben ( Art. 106 Abs. 1 und Art. 110 BGG ; BGE 125 V 368 ; Urteile 9C_203/2010 vom 21. September 2010 E. 3.1.3; 9C_303/2010 vom 5. Juli 2010 E. 4).</w:t>
      </w:r>
    </w:p>
    <w:p>
      <w:r>
        <w:rPr>
          <w:b/>
        </w:rPr>
        <w:t>E. 4.3</w:t>
      </w:r>
    </w:p>
    <w:p>
      <w:r>
        <w:t>Die Wiedererwägung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Leistungszusprache aufgrund falscher Rechtsregeln bzw. ohne oder in unrichtiger Anwendung der massgeblichen Bestimmungen.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SVR 2014 IV Nr. 39 S. 137, 9C_121/2014 E. 3.2.1; Urteile 8C_680/2014 vom 16. März 2015 E. 3.1; 9C_427/2014 vom 1. Dezember 2014 E. 2.2).</w:t>
      </w:r>
    </w:p>
    <w:p>
      <w:r>
        <w:t>Ob die Verwaltung bei der Rentenzusprache den Untersuchungsgrundsatz (vgl. Art. 43 Abs. 1 ATSG ; BGE 132 V 93 E. 4 S. 99 f.) und andere bundesrechtliche Vorschriften beachtet hat, ist frei überprüfbare Rechtsfrage ( BGE 132 V 393 E. 3.2 und 4 S. 397 ff.; Urteile 9C_765/2015 vom 21. April 2016 E. 3.3; 9C_882/2014 vom 23. Juni 2015 E. 3.2).</w:t>
      </w:r>
    </w:p>
    <w:p>
      <w:r>
        <w:rPr>
          <w:b/>
        </w:rPr>
        <w:t>E. 4.4</w:t>
      </w:r>
    </w:p>
    <w:p>
      <w:r>
        <w:t>Die Verfügung vom 17. August 2012 beruhte im Wesentlichen auf der Einschätzung des Dr. med. C.________. Er diagnostizierte eine depressive Episode leichten bis mittleren Ausmasses (ICD-10: F32.0/32.1) und eine anhaltende somatoforme Schmerzstörung    (ICD-10: F45.4) bei akzentuierten Persönlichkeitszügen (ICD-10: Z73.1) und langer Phase von Arbeitsuntätigkeit (ICD-10: Z56); auf dieser Basis attestierte er eine Restarbeitsfähigkeit von 60 %, wobei er als ausschlaggebend erachtete, "dass die psychische Komorbidität leicht- bis mittelgradig" und "eine Chronifizierung eingetreten" war. Diese Einschätzung hält im Lichte der bis Juni 2015 geltenden Rechtsprechung von BGE 130 V 352 , wonach eine diagnostizierte anhaltende somatoforme Schmerzstörung nur ausnahmsweise eine invalidisierende Arbeitsunfähigkeit zu bewirken vermochte, klar nicht stand: So ist nicht ersichtlich, dass es sich bei der depressiven Episode um ein eigenständiges Leiden und nicht lediglich um eine Begleiterscheinung der Schmerzstörung gehandelt haben soll (vgl. Urteil 8C_759/2013 vom 4. März 2014 E. 3.6.2). Weiter gelten resp. galten leichte bis höchstens mittelschwere depressive Leiden grundsätzlich als therapeutisch angehbar (Urteile 9C_13/2016 vom 14. April 2016 E. 4.2; 9C_250/2012 vom 29. November 2012 E. 5). Dr. med. C.________ empfahl denn auch, bei bisher ungenügender Behandlung, weitere therapeutische Massnahmen. Ausserdem stellte er einen sekundären Krankheitsgewinn fest. Bei Gesamtbetrachtung der Kriterien gemäss BGE 130 V 352 E. 2.2.3 S. 354 f. hätte die Verwaltung mit der Verfügung vom 17. August 2012 keine Rente mehr zusprechen dürfen. Hinzu kommt, dass Dr. med. C.________ kaum Befunde entsprechend den Diagnosekriterien gemäss ICD-10 für eine somatoforme Schmerzstörung (mit dem diagnoseinhärenten Schweregrad) darlegte, gleichzeitig aber eine "bedeutende Symptomausweitung" und "ausgeprägte Tendenzen zur Selbstlimitierung" feststellte, weshalb auch in (retrospektiver) Anwendung der heute geltenden Rechtsprechung von BGE 141 V 281 ein Rentenanspruch hätte verneint werden müssen (vgl. BGE 141 V 281 E. 2 S. 285 ff.).</w:t>
      </w:r>
    </w:p>
    <w:p>
      <w:r>
        <w:rPr>
          <w:b/>
        </w:rPr>
        <w:t>E. 4.5</w:t>
      </w:r>
    </w:p>
    <w:p>
      <w:r>
        <w:t>Nach dem Gesagten war die Verfügung vom 17. August 2012 zweifellos unrichtig und deshalb die spätere Rentenaufhebung grundsätzlich zulässig. Zu prüfen bleibt der Rentenanspruch ex nunc et pro futuro resp. die Invaliditätsbemessung bei Erlass der rentenaufhebenden Verfügung vom 14. September 2015.</w:t>
      </w:r>
    </w:p>
    <w:p>
      <w:r>
        <w:rPr>
          <w:b/>
        </w:rPr>
        <w:t>E. 5.1</w:t>
      </w:r>
    </w:p>
    <w:p>
      <w:r>
        <w:t>In Bezug auf die Beweiskraft des MEDAS-Gutachtens für den Zeitpunkt bei Erlass der angefochtenen Verfügung vom 14. September 2015 ergibt sich Folgendes:</w:t>
      </w:r>
    </w:p>
    <w:p>
      <w:r>
        <w:t>In somatischer Hinsicht liegt kein Widerspruch darin, dass die Vorinstanz darauf verwies, die Arbeitsfähigkeitsschätzung der MEDAS-Gutachter für angepasste Tätigkeiten stimme mit jener des Dr. med. B.________ überein. Sodann setzte sich der neurologische MEDAS-Experte in einleuchtender Weise u.a. mit den Berichten der Radiologie D.________, des Dr. med. E.________ und der Klinik F.________ auseinander. In Übereinstimmung mit Dr. med. E.________ konnte er keine klinischen Hinweise für eine Myelopathie erheben. Seine Einschätzungen stehen mit jenen des orthopädischen Gutachters, der ausdrücklich keine "rechtfertigende Indikation" für weitere medizinisch-technische Untersuchungen erkennen konnte, im Einklang. Schliesslich legte er nachvollziehbar dar, inwiefern er im Vergleich zur Situation bei der Untersuchung durch Dr. med. B.________ von einer Verschlechterung ausging und weshalb er körperlich schwere Tätigkeiten nicht mehr und die bisherige Arbeit als Briefsortierer "wegen der dabei bestehenden Bewegungsabläufe" nur zu 80 %, hingegen leidensangepasste Tätigkeiten uneingeschränkt für zumutbar hielt. Der Bericht der Frau Dr. med. G.________ vom 9. Juli 2015 erschüttert denn auch nicht die Beweiskraft des MEDAS-Gutachtens (vgl. BGE 125 V 351 E. 3b/bb und cc S. 353), zumal darin keine erneute - d.h. nach der Untersuchung durch die MEDAS-Ärzte eingetretene - Verschlechterung des Gesundheitszustandes geltend gemacht wird, wie die Vorinstanz zutreffend festgestellt hat.</w:t>
      </w:r>
    </w:p>
    <w:p>
      <w:r>
        <w:t>Die psychiatrischen Einschätzungen überzeugen ebenfalls: Insbesondere mit Blick auf die relevanten Diagnosekriterien resp. allfälligen Ausschlussgründe (vgl. BGE 141 V 281 E. 2 S. 285 ff.) ist schlüssig, weshalb der MEDAS-Experte die von Dr. med. C.________ gestellten (Haupt-) Diagnosen wie auch dessen Arbeitsfähigkeitsschätzung verwarf. Er konnte denn auch nur "gering ausgeprägte" Störungen feststellen. Aus dem Umstand, dass keine Freundschaften gepflegt werden, muss nicht zwingend auf soziale Isolation - die ohnehin nicht per se invalidisierend ist - geschlossen werden. Diesbezüglich wurde zu Recht berücksichtigt, dass der Versicherte fähig war, sich innert kurzer Zeit von der langjährigen Freundin zu trennen und seine jetzige Frau zu heiraten. Dass sich die Vorinstanz bei diesem Umstand im Datum geirrt hat, ist nicht von Belang. Weiter befasste sich der MEDAS-Experte mit den Vorakten und dabei insbesondere mit den Einschätzungen des behandelnden Dr. med. H.________. Dessen Bericht vom 12. August 2015 enthält keine Anhaltspunkte für eine nach der Begutachtung eingetretene Verschlechterung.</w:t>
      </w:r>
    </w:p>
    <w:p>
      <w:r>
        <w:t>Im Übrigen beschränkt sich der Beschwerdeführer ohnehin auf weiten Strecken auf eine eigene, von der Vorinstanz abweichende Beweiswürdigung und Darstellung seiner gesundheitlichen Verhältnisse, was nicht genügt. Das MEDAS-Gutachten erfüllt die Anforderungen an die Beweiskraft (E. 3.1), weshalb sich weitere medizinische Abklärungen erübrigen.</w:t>
      </w:r>
    </w:p>
    <w:p>
      <w:r>
        <w:rPr>
          <w:b/>
        </w:rPr>
        <w:t>E. 5.2</w:t>
      </w:r>
    </w:p>
    <w:p>
      <w:r>
        <w:t>Nach dem Gesagten bleiben die auf dem MEDAS-Gutachten beruhenden vorinstanzlichen Feststellungen betreffend die Arbeitsfähigkeit in angepassten Tätigkeiten (E. 2) für das Bundesgericht verbindlich (E. 1).</w:t>
      </w:r>
    </w:p>
    <w:p>
      <w:r>
        <w:rPr>
          <w:b/>
        </w:rPr>
        <w:t>E. 5.3</w:t>
      </w:r>
    </w:p>
    <w:p>
      <w:r>
        <w:t>Dass der Beschwerdeführer bereits "seit 6.09.2003" eine Rente der Invalidenversicherung bezogen haben soll, geht weder aus dem MEDAS-Gutachten noch aus den übrigen Akten hervor. Aber selbst wenn dies zutreffen sollte, sind keine Umstände ersichtlich, die gegen die Zumutbarkeit der Selbsteingliederung sprechen (vgl. SVR 2011 IV Nr. 30 S. 86, 9C_163/2009 E. 4.2; Urteil 9C_524/2015 vom 30. November 2015 E. 4.1 mit Hinweisen). Die IV-Stelle bot dem Versicherten im Vorfeld der Rentenaufhebung wohl an, sein Eingliederungspotenzial zu prüfen, sofern er sich zu beruflichen Massnahmen "in der Lage fühle" (Schreiben vom 1. November 2012). Daraus kann er nichts weiter für sich ableiten, zumal ihm damit - entgegen seiner Darstellung - nicht Eingliederungsmassnahmen zugesprochen wurden.</w:t>
      </w:r>
    </w:p>
    <w:p>
      <w:r>
        <w:rPr>
          <w:b/>
        </w:rPr>
        <w:t>E. 5.4</w:t>
      </w:r>
    </w:p>
    <w:p>
      <w:r>
        <w:t>Ob überhaupt ein Abzug vom Tabellenlohn ( BGE 135 V 297 E. 5.2 S. 301; 126 V 75 E. 5b/aa-cc S. 80) angezeigt ist, kann offenbleiben. Dessen Höhe liegt im vorinstanzlichen Ermessen. Es wird nicht (substanziiert) dargelegt, inwiefern dieses rechtsfehlerhaft ausgeübt worden sein, also Ermessensüberschreitung, -missbrauch oder -unterschreitung vorliegen (vgl. BGE 132 V 393 E. 3.3 in fine S. 399; Urteil 9C_973/2008 vom 19. Januar 2009 E. 3) soll, weshalb sich diesbezügliche Weiterungen erübrigen.</w:t>
      </w:r>
    </w:p>
    <w:p>
      <w:r>
        <w:rPr>
          <w:b/>
        </w:rPr>
        <w:t>E. 5.5</w:t>
      </w:r>
    </w:p>
    <w:p>
      <w:r>
        <w:t>Nach dem Gesagten bleibt es beim Invalideneinkommen von Fr. 62'823.80 und folglich auch bei der Rentenaufhebung auf Ende Oktober 2015. Die Beschwerde ist unbegründet.</w:t>
      </w:r>
    </w:p>
    <w:p>
      <w:r>
        <w:rPr>
          <w:b/>
        </w:rPr>
        <w:t>E. 6.1</w:t>
      </w:r>
    </w:p>
    <w:p>
      <w:r>
        <w:t>Dem Ausgang des Verfahrens entsprechend hat der Beschwerdeführer grundsätzlich die Gerichtskosten zu tragen ( Art. 66 Abs. 1 BGG ). Seinem Gesuch um unentgeltliche Rechtspflege kann jedoch entsprochen werden ( Art. 64 BGG ). Er hat der Bundesgerichtskasse Ersatz zu leisten, wenn er später dazu in der Lage ist ( Art. 64 Abs. 4 BGG ).</w:t>
      </w:r>
    </w:p>
    <w:p>
      <w:r>
        <w:rPr>
          <w:b/>
        </w:rPr>
        <w:t>E. 6.2</w:t>
      </w:r>
    </w:p>
    <w:p>
      <w:r>
        <w:t>Der unentgeltliche Rechtsbeistand hat Anspruch auf eine angemessene Entschädigung aus der Gerichtskasse ( Art. 64 Abs. 2 BGG ). Nach Art. 68 BGG und Art. 2 des Reglements über die Parteientschädigung und die Entschädigung für die amtliche Vertretung im Verfahren vor dem Bundesgericht vom 31. März 2006 (SR 173.110.210.3; nachfolgend: Entschädigungsreglement)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(Urteile 9C_918/2012 vom 28. Januar 2013 E. 3.2; 8C_675/2012 vom 7. Dezember 2012 E. 6.2; 8C_370/2010 vom 7. Februar 2011 E. 8.2). Das Abstellen auf die den jeweiligen Zeitaufwand detailliert ausweisende Honorarnote eines Rechtsvertreters erscheint aber grundsätzlich als sachgerecht (Art. 12 Abs. 2 Entschädigungsreglement; Urteile 9C_162/2013 vom 8. August 2013 E. 4.3.2; 9C_178/2011 vom 20. Mai 2011 E. 3.4.3).</w:t>
      </w:r>
    </w:p>
    <w:p>
      <w:r>
        <w:t>Der in der eingereichten Honorarnote vom 23. Mai 2016 ausgewiesene Stundenaufwand erscheint angesichts der durchschnittlichen Schwierigkeit der Streitsache (vgl. Art. 3 Abs. 1 Entschädigungsreglement) an der oberen Grenze des Vertretbaren. Immerhin ist zu berücksichtigen, dass die Rechtsvertreterin des Beschwerdeführers erst für das bundesgerichtliche Verfahren beigezogen wurde. Die Entschädigung ist in der geltend gemachten Höhe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